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8D" w:rsidRDefault="001B608D" w:rsidP="001B608D">
      <w:pPr>
        <w:pStyle w:val="Nagwek"/>
        <w:ind w:left="-567"/>
        <w:rPr>
          <w:noProof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581A2F4E" wp14:editId="7F959587">
            <wp:extent cx="2038350" cy="895350"/>
            <wp:effectExtent l="0" t="0" r="0" b="0"/>
            <wp:docPr id="2" name="Obraz 2" descr="logo_FE_Infrastruktura_i_Srodowisko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Infrastruktura_i_Srodowisko_rgb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28966636" wp14:editId="2CDBFD5C">
            <wp:extent cx="2276475" cy="742950"/>
            <wp:effectExtent l="0" t="0" r="9525" b="0"/>
            <wp:docPr id="1" name="Obraz 1" descr="UE_EFRR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_EFRR_rgb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9B" w:rsidRPr="00883A08" w:rsidRDefault="00685E9B" w:rsidP="00685E9B">
      <w:pPr>
        <w:rPr>
          <w:rFonts w:ascii="Tahoma" w:hAnsi="Tahoma" w:cs="Tahoma"/>
          <w:b/>
          <w:sz w:val="24"/>
          <w:szCs w:val="24"/>
        </w:rPr>
      </w:pPr>
      <w:r w:rsidRPr="00883A08">
        <w:rPr>
          <w:rFonts w:ascii="Tahoma" w:hAnsi="Tahoma" w:cs="Tahoma"/>
          <w:b/>
          <w:sz w:val="24"/>
          <w:szCs w:val="24"/>
        </w:rPr>
        <w:t xml:space="preserve">Część nr </w:t>
      </w:r>
      <w:r w:rsidR="00883A08">
        <w:rPr>
          <w:rFonts w:ascii="Tahoma" w:hAnsi="Tahoma" w:cs="Tahoma"/>
          <w:b/>
          <w:sz w:val="24"/>
          <w:szCs w:val="24"/>
        </w:rPr>
        <w:t>6</w:t>
      </w:r>
      <w:r w:rsidRPr="00883A08">
        <w:rPr>
          <w:rFonts w:ascii="Tahoma" w:hAnsi="Tahoma" w:cs="Tahoma"/>
          <w:b/>
          <w:sz w:val="24"/>
          <w:szCs w:val="24"/>
        </w:rPr>
        <w:tab/>
      </w:r>
      <w:r w:rsidRPr="00883A08">
        <w:rPr>
          <w:rFonts w:ascii="Tahoma" w:hAnsi="Tahoma" w:cs="Tahoma"/>
          <w:b/>
          <w:sz w:val="24"/>
          <w:szCs w:val="24"/>
        </w:rPr>
        <w:tab/>
      </w:r>
      <w:r w:rsidRPr="00883A08">
        <w:rPr>
          <w:rFonts w:ascii="Tahoma" w:hAnsi="Tahoma" w:cs="Tahoma"/>
          <w:b/>
          <w:sz w:val="24"/>
          <w:szCs w:val="24"/>
        </w:rPr>
        <w:tab/>
      </w:r>
      <w:r w:rsidRPr="00883A08">
        <w:rPr>
          <w:rFonts w:ascii="Tahoma" w:hAnsi="Tahoma" w:cs="Tahoma"/>
          <w:b/>
          <w:sz w:val="24"/>
          <w:szCs w:val="24"/>
        </w:rPr>
        <w:tab/>
      </w:r>
      <w:r w:rsidRPr="00883A08">
        <w:rPr>
          <w:rFonts w:ascii="Tahoma" w:hAnsi="Tahoma" w:cs="Tahoma"/>
          <w:b/>
          <w:sz w:val="24"/>
          <w:szCs w:val="24"/>
        </w:rPr>
        <w:tab/>
      </w:r>
      <w:r w:rsidRPr="00883A08">
        <w:rPr>
          <w:rFonts w:ascii="Tahoma" w:hAnsi="Tahoma" w:cs="Tahoma"/>
          <w:b/>
          <w:sz w:val="24"/>
          <w:szCs w:val="24"/>
        </w:rPr>
        <w:tab/>
      </w:r>
      <w:r w:rsidRPr="00883A08">
        <w:rPr>
          <w:rFonts w:ascii="Tahoma" w:hAnsi="Tahoma" w:cs="Tahoma"/>
          <w:b/>
          <w:sz w:val="24"/>
          <w:szCs w:val="24"/>
        </w:rPr>
        <w:tab/>
      </w:r>
      <w:r w:rsidRPr="00883A08">
        <w:rPr>
          <w:rFonts w:ascii="Tahoma" w:hAnsi="Tahoma" w:cs="Tahoma"/>
          <w:b/>
          <w:sz w:val="24"/>
          <w:szCs w:val="24"/>
        </w:rPr>
        <w:tab/>
        <w:t>Załącznik nr</w:t>
      </w:r>
      <w:r w:rsidR="00883A08">
        <w:rPr>
          <w:rFonts w:ascii="Tahoma" w:hAnsi="Tahoma" w:cs="Tahoma"/>
          <w:b/>
          <w:sz w:val="24"/>
          <w:szCs w:val="24"/>
        </w:rPr>
        <w:t xml:space="preserve"> </w:t>
      </w:r>
      <w:r w:rsidR="002156BE">
        <w:rPr>
          <w:rFonts w:ascii="Tahoma" w:hAnsi="Tahoma" w:cs="Tahoma"/>
          <w:b/>
          <w:sz w:val="24"/>
          <w:szCs w:val="24"/>
        </w:rPr>
        <w:t>3</w:t>
      </w:r>
      <w:r w:rsidR="00883A08">
        <w:rPr>
          <w:rFonts w:ascii="Tahoma" w:hAnsi="Tahoma" w:cs="Tahoma"/>
          <w:b/>
          <w:sz w:val="24"/>
          <w:szCs w:val="24"/>
        </w:rPr>
        <w:t xml:space="preserve"> do SIWZ</w:t>
      </w:r>
      <w:r w:rsidRPr="00883A08">
        <w:rPr>
          <w:rFonts w:ascii="Tahoma" w:hAnsi="Tahoma" w:cs="Tahoma"/>
          <w:b/>
          <w:sz w:val="24"/>
          <w:szCs w:val="24"/>
        </w:rPr>
        <w:t xml:space="preserve"> </w:t>
      </w:r>
    </w:p>
    <w:p w:rsidR="00685E9B" w:rsidRPr="00B6035D" w:rsidRDefault="00685E9B" w:rsidP="00685E9B">
      <w:pPr>
        <w:rPr>
          <w:rFonts w:ascii="Tahoma" w:hAnsi="Tahoma" w:cs="Tahoma"/>
          <w:b/>
          <w:sz w:val="22"/>
          <w:szCs w:val="22"/>
        </w:rPr>
      </w:pPr>
    </w:p>
    <w:p w:rsidR="00685E9B" w:rsidRPr="00B6035D" w:rsidRDefault="00685E9B" w:rsidP="00685E9B">
      <w:pPr>
        <w:jc w:val="center"/>
        <w:rPr>
          <w:rFonts w:ascii="Tahoma" w:hAnsi="Tahoma" w:cs="Tahoma"/>
          <w:b/>
          <w:sz w:val="22"/>
          <w:szCs w:val="22"/>
        </w:rPr>
      </w:pPr>
      <w:r w:rsidRPr="00B6035D">
        <w:rPr>
          <w:rFonts w:ascii="Tahoma" w:hAnsi="Tahoma" w:cs="Tahoma"/>
          <w:b/>
          <w:sz w:val="22"/>
          <w:szCs w:val="22"/>
        </w:rPr>
        <w:t>ZESTAWIENIE PARAMETRÓW WYMAGANYCH</w:t>
      </w:r>
    </w:p>
    <w:p w:rsidR="00685E9B" w:rsidRPr="00B6035D" w:rsidRDefault="00685E9B" w:rsidP="00685E9B">
      <w:pPr>
        <w:rPr>
          <w:rFonts w:ascii="Tahoma" w:hAnsi="Tahoma" w:cs="Tahoma"/>
          <w:b/>
          <w:sz w:val="22"/>
          <w:szCs w:val="22"/>
        </w:rPr>
      </w:pPr>
    </w:p>
    <w:p w:rsidR="00685E9B" w:rsidRPr="00B6035D" w:rsidRDefault="000F5F3C" w:rsidP="00685E9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Przedmiot postępowania: Łóżko</w:t>
      </w:r>
      <w:r w:rsidR="00685E9B" w:rsidRPr="00B6035D">
        <w:rPr>
          <w:rFonts w:ascii="Tahoma" w:hAnsi="Tahoma" w:cs="Tahoma"/>
          <w:b/>
          <w:sz w:val="22"/>
          <w:szCs w:val="22"/>
        </w:rPr>
        <w:t xml:space="preserve"> </w:t>
      </w:r>
      <w:r w:rsidR="00C5727A">
        <w:rPr>
          <w:rFonts w:ascii="Tahoma" w:hAnsi="Tahoma" w:cs="Tahoma"/>
          <w:b/>
          <w:sz w:val="22"/>
          <w:szCs w:val="22"/>
        </w:rPr>
        <w:t>szpitalne</w:t>
      </w:r>
      <w:bookmarkStart w:id="0" w:name="_GoBack"/>
      <w:bookmarkEnd w:id="0"/>
      <w:r w:rsidR="00B6035D" w:rsidRPr="00B6035D">
        <w:rPr>
          <w:rFonts w:ascii="Tahoma" w:hAnsi="Tahoma" w:cs="Tahoma"/>
          <w:b/>
          <w:sz w:val="22"/>
          <w:szCs w:val="22"/>
        </w:rPr>
        <w:t xml:space="preserve"> – 3 szt.</w:t>
      </w:r>
      <w:r w:rsidR="00A92DB9">
        <w:rPr>
          <w:rFonts w:ascii="Tahoma" w:hAnsi="Tahoma" w:cs="Tahoma"/>
          <w:b/>
          <w:sz w:val="22"/>
          <w:szCs w:val="22"/>
        </w:rPr>
        <w:br/>
      </w:r>
    </w:p>
    <w:p w:rsidR="00685E9B" w:rsidRPr="00B6035D" w:rsidRDefault="00685E9B" w:rsidP="00685E9B">
      <w:pPr>
        <w:rPr>
          <w:rFonts w:ascii="Tahoma" w:hAnsi="Tahoma" w:cs="Tahoma"/>
          <w:b/>
          <w:sz w:val="22"/>
          <w:szCs w:val="22"/>
        </w:rPr>
      </w:pPr>
      <w:r w:rsidRPr="00B6035D">
        <w:rPr>
          <w:rFonts w:ascii="Tahoma" w:hAnsi="Tahoma" w:cs="Tahoma"/>
          <w:b/>
          <w:sz w:val="22"/>
          <w:szCs w:val="22"/>
        </w:rPr>
        <w:t>Nazwa producenta/Kraj:</w:t>
      </w:r>
    </w:p>
    <w:p w:rsidR="00685E9B" w:rsidRPr="00B6035D" w:rsidRDefault="00685E9B" w:rsidP="00685E9B">
      <w:pPr>
        <w:rPr>
          <w:rFonts w:ascii="Tahoma" w:hAnsi="Tahoma" w:cs="Tahoma"/>
          <w:b/>
          <w:sz w:val="22"/>
          <w:szCs w:val="22"/>
        </w:rPr>
      </w:pPr>
      <w:r w:rsidRPr="00B6035D">
        <w:rPr>
          <w:rFonts w:ascii="Tahoma" w:hAnsi="Tahoma" w:cs="Tahoma"/>
          <w:b/>
          <w:sz w:val="22"/>
          <w:szCs w:val="22"/>
        </w:rPr>
        <w:t>Typ/model</w:t>
      </w:r>
      <w:r w:rsidR="00A92DB9">
        <w:rPr>
          <w:rFonts w:ascii="Tahoma" w:hAnsi="Tahoma" w:cs="Tahoma"/>
          <w:b/>
          <w:sz w:val="22"/>
          <w:szCs w:val="22"/>
        </w:rPr>
        <w:t>:</w:t>
      </w:r>
    </w:p>
    <w:p w:rsidR="00685E9B" w:rsidRPr="00B6035D" w:rsidRDefault="00685E9B" w:rsidP="00685E9B">
      <w:pPr>
        <w:rPr>
          <w:rFonts w:ascii="Tahoma" w:hAnsi="Tahoma" w:cs="Tahoma"/>
          <w:b/>
          <w:sz w:val="22"/>
          <w:szCs w:val="22"/>
        </w:rPr>
      </w:pPr>
      <w:r w:rsidRPr="00B6035D">
        <w:rPr>
          <w:rFonts w:ascii="Tahoma" w:hAnsi="Tahoma" w:cs="Tahoma"/>
          <w:b/>
          <w:sz w:val="22"/>
          <w:szCs w:val="22"/>
        </w:rPr>
        <w:t>Rok produkcji: Sprzęt fabrycznie nowy – nieużywany/ min. 2019 r.</w:t>
      </w:r>
    </w:p>
    <w:p w:rsidR="00685E9B" w:rsidRPr="00B6035D" w:rsidRDefault="00685E9B">
      <w:pPr>
        <w:rPr>
          <w:rFonts w:ascii="Tahoma" w:hAnsi="Tahoma" w:cs="Tahoma"/>
          <w:sz w:val="22"/>
          <w:szCs w:val="22"/>
        </w:rPr>
      </w:pPr>
    </w:p>
    <w:tbl>
      <w:tblPr>
        <w:tblW w:w="9782" w:type="dxa"/>
        <w:tblInd w:w="-25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306"/>
        <w:gridCol w:w="1472"/>
        <w:gridCol w:w="1708"/>
        <w:gridCol w:w="2076"/>
      </w:tblGrid>
      <w:tr w:rsidR="00E43016" w:rsidRPr="00B6035D" w:rsidTr="00E43016">
        <w:trPr>
          <w:trHeight w:val="406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B6035D" w:rsidRPr="00B6035D" w:rsidRDefault="00B6035D" w:rsidP="00315C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6035D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B6035D" w:rsidRPr="00B6035D" w:rsidRDefault="00B6035D" w:rsidP="00315C30">
            <w:pPr>
              <w:keepNext/>
              <w:jc w:val="center"/>
              <w:outlineLvl w:val="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6035D">
              <w:rPr>
                <w:rFonts w:ascii="Tahoma" w:hAnsi="Tahoma" w:cs="Tahoma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B6035D" w:rsidRPr="00B6035D" w:rsidRDefault="00B6035D" w:rsidP="00315C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6035D">
              <w:rPr>
                <w:rFonts w:ascii="Tahoma" w:hAnsi="Tahoma" w:cs="Tahoma"/>
                <w:b/>
                <w:bCs/>
                <w:sz w:val="22"/>
                <w:szCs w:val="22"/>
              </w:rPr>
              <w:t>WYMAGANE PARAMETRY                         I WARUNKI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B6035D" w:rsidRPr="00B6035D" w:rsidRDefault="00B6035D" w:rsidP="00315C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6035D">
              <w:rPr>
                <w:rFonts w:ascii="Tahoma" w:hAnsi="Tahoma" w:cs="Tahoma"/>
                <w:b/>
                <w:bCs/>
                <w:sz w:val="22"/>
                <w:szCs w:val="22"/>
              </w:rPr>
              <w:t>PARAMETRY OFEROWANE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35EB" w:rsidRDefault="006935EB" w:rsidP="00315C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B6035D" w:rsidRPr="00B6035D" w:rsidRDefault="006935EB" w:rsidP="00315C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Punktacja</w:t>
            </w: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Szczyty łóżka tworzywowe z jednolitego odlewu bez miejsc klejenia/skręcania, wyjmowane od strony nóg i głowy z możliwością zablokowania szczytu przed wyjęciem na czas transportu łóżka w celu uniknięcia wypadnięcia szczytu i stracenia kontroli nad łóżkiem. Blokady szczytów z graficzną informacją: zablokowane/odblokowane.</w:t>
            </w:r>
          </w:p>
          <w:p w:rsidR="001B608D" w:rsidRPr="001B608D" w:rsidRDefault="001B608D" w:rsidP="002347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Szczyt montowany do ramy leża za pomocą dwóch pojedynczych metalowych rurek zatopionych w wyprofilowanych otworach, które wsuwa się do tulei zlokalizowanych w narożnikach ramy łóżka. Nie dopuszcza się szczytów przykręcanych/montowanych do metalowej rury w kształcie litery C i U.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 xml:space="preserve">Tak 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Konstrukcja szczytu wypełniona w środku tworzywowym odlewem, szczyty jako monolityczna bryła. Nie dopuszcza się szczytów, które składają się z dwóch tworzywowych wyprasek sklejonych ze sobą z wewnętrzną metalową rurą.</w:t>
            </w:r>
          </w:p>
          <w:p w:rsidR="001B608D" w:rsidRPr="001B608D" w:rsidRDefault="001B608D" w:rsidP="002347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 xml:space="preserve">Barierki boczne tworzywowe, dzielone, dwuczęściowe, zabezpieczające pacjenta na ¾ długości leża. Składane poniżej poziomu leża nie powodujące poszerzenia łóżka po złożeniu, mechanizm zwalniania barierki w jej dolnej części, w miejscu niedostępnym dla pacjenta w celu bezpieczeństwa. W celach bezpieczeństwa barierki odblokowywane w min dwóch ruchach, tj. w pierwszej kolejności należy docisnąć barierkę do leża, następnie zwolnić blokadę. Barierki wykonane jako jednorodny odlew /bez wolnych przestrzeni wewnątrz czy dodatkowych rur wzmacniających. 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Barierki boczne segmentu oparcia pleców unoszone wraz z tym segmentem dla zapewnienia bezpieczeństwa w każdej pozycji pacjenta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Barierki boczne z wyprofilowanymi uchwytami mogącymi służyć jako podparcie dla pacjenta podczas wstawania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 xml:space="preserve">Leże łóżka  4 – sekcyjne, w tym 3 ruchome. Leże wypełnienie panelami tworzywowymi. Po kilka paneli w segmencie pleców i podudzia. Panele gładkie, łatwo </w:t>
            </w:r>
            <w:proofErr w:type="spellStart"/>
            <w:r w:rsidRPr="00B6035D">
              <w:rPr>
                <w:rFonts w:ascii="Tahoma" w:hAnsi="Tahoma" w:cs="Tahoma"/>
                <w:sz w:val="22"/>
                <w:szCs w:val="22"/>
              </w:rPr>
              <w:t>demontowalne</w:t>
            </w:r>
            <w:proofErr w:type="spellEnd"/>
            <w:r w:rsidRPr="00B6035D">
              <w:rPr>
                <w:rFonts w:ascii="Tahoma" w:hAnsi="Tahoma" w:cs="Tahoma"/>
                <w:sz w:val="22"/>
                <w:szCs w:val="22"/>
              </w:rPr>
              <w:t>, lekkie (maksymalna waga pojedynczego panelu poniżej 1kg) nadające się do dezynfekcji. Panele zabezpieczone przed przesuwaniem się i wypadnięciem poprzez system zatrzaskowy. Leże podparte w 8pkt, gwarantujące stabilność w każdym położeniu. Segmenty leża osadzone na dwóch wzdłużnych profilach stalowych, lakierowanych proszkowo, brak zewnętrznej ramy przy segmentach leża.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Koła tworzywowe o średnicy min 125mm, gwarantujące wysoką odporność na uszkodzenia mechaniczne, np. w trakcie wjeżdżania do windy.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 xml:space="preserve">Tak, podać 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 xml:space="preserve">Centralna oraz kierunkowa blokada kół uruchamiana za pomocą jednej z dwóch dźwigni zlokalizowanych bezpośrednio przy kołach od strony nóg, po obu stronach łóżka. 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Sterowanie elektryczne łóżka przy pomocy:</w:t>
            </w:r>
          </w:p>
          <w:p w:rsidR="00B6035D" w:rsidRPr="00B6035D" w:rsidRDefault="00B6035D" w:rsidP="00B6035D">
            <w:pPr>
              <w:pStyle w:val="Akapitzlist"/>
              <w:numPr>
                <w:ilvl w:val="0"/>
                <w:numId w:val="7"/>
              </w:numPr>
              <w:ind w:left="395" w:hanging="283"/>
              <w:rPr>
                <w:rFonts w:ascii="Tahoma" w:hAnsi="Tahoma" w:cs="Tahoma"/>
                <w:szCs w:val="22"/>
              </w:rPr>
            </w:pPr>
            <w:r w:rsidRPr="00B6035D">
              <w:rPr>
                <w:rFonts w:ascii="Tahoma" w:hAnsi="Tahoma" w:cs="Tahoma"/>
                <w:szCs w:val="22"/>
              </w:rPr>
              <w:t xml:space="preserve">Zintegrowanego sterowania w barierkach bocznych zarówno od strony wewnętrznej dla pacjenta jak i zewnętrznej dla personelu, sterowanie regulacji wysokości leża, kąta nachylenia segmentu pleców oraz uda, a także funkcji </w:t>
            </w:r>
            <w:proofErr w:type="spellStart"/>
            <w:r w:rsidRPr="00B6035D">
              <w:rPr>
                <w:rFonts w:ascii="Tahoma" w:hAnsi="Tahoma" w:cs="Tahoma"/>
                <w:szCs w:val="22"/>
              </w:rPr>
              <w:t>Autokontur</w:t>
            </w:r>
            <w:proofErr w:type="spellEnd"/>
            <w:r w:rsidRPr="00B6035D">
              <w:rPr>
                <w:rFonts w:ascii="Tahoma" w:hAnsi="Tahoma" w:cs="Tahoma"/>
                <w:szCs w:val="22"/>
              </w:rPr>
              <w:t xml:space="preserve"> wraz z przyciskiem aktywującym sterowniki. Brak przycisków do regulacji pozycji krzesła kardiologicznego, </w:t>
            </w:r>
            <w:proofErr w:type="spellStart"/>
            <w:r w:rsidRPr="00B6035D">
              <w:rPr>
                <w:rFonts w:ascii="Tahoma" w:hAnsi="Tahoma" w:cs="Tahoma"/>
                <w:szCs w:val="22"/>
              </w:rPr>
              <w:t>Trendelenburga</w:t>
            </w:r>
            <w:proofErr w:type="spellEnd"/>
            <w:r w:rsidRPr="00B6035D">
              <w:rPr>
                <w:rFonts w:ascii="Tahoma" w:hAnsi="Tahoma" w:cs="Tahoma"/>
                <w:szCs w:val="22"/>
              </w:rPr>
              <w:t xml:space="preserve">, </w:t>
            </w:r>
            <w:proofErr w:type="spellStart"/>
            <w:r w:rsidRPr="00B6035D">
              <w:rPr>
                <w:rFonts w:ascii="Tahoma" w:hAnsi="Tahoma" w:cs="Tahoma"/>
                <w:szCs w:val="22"/>
              </w:rPr>
              <w:t>Antyszokowej</w:t>
            </w:r>
            <w:proofErr w:type="spellEnd"/>
            <w:r w:rsidRPr="00B6035D">
              <w:rPr>
                <w:rFonts w:ascii="Tahoma" w:hAnsi="Tahoma" w:cs="Tahoma"/>
                <w:szCs w:val="22"/>
              </w:rPr>
              <w:t xml:space="preserve"> w barierkach bocznych w celach bezpieczeństwa, </w:t>
            </w:r>
          </w:p>
          <w:p w:rsidR="00B6035D" w:rsidRDefault="00B6035D" w:rsidP="00B6035D">
            <w:pPr>
              <w:pStyle w:val="Akapitzlist"/>
              <w:numPr>
                <w:ilvl w:val="0"/>
                <w:numId w:val="7"/>
              </w:numPr>
              <w:ind w:left="395"/>
              <w:rPr>
                <w:rFonts w:ascii="Tahoma" w:hAnsi="Tahoma" w:cs="Tahoma"/>
                <w:szCs w:val="22"/>
              </w:rPr>
            </w:pPr>
            <w:r w:rsidRPr="00B6035D">
              <w:rPr>
                <w:rFonts w:ascii="Tahoma" w:hAnsi="Tahoma" w:cs="Tahoma"/>
                <w:szCs w:val="22"/>
              </w:rPr>
              <w:t xml:space="preserve">Panelu sterowania dla     personelu wbudowanego na stałe w ramę leża, pod szczytem od strony nóg (w miejscu niedostępnym dla pacjenta) umożliwiającego zablokowanie regulacji nachylenia segmentu pleców, ud oraz wysokości. Posiadający osobne przyciski do ustawiania leża w pozycji CPR, </w:t>
            </w:r>
            <w:proofErr w:type="spellStart"/>
            <w:r w:rsidRPr="00B6035D">
              <w:rPr>
                <w:rFonts w:ascii="Tahoma" w:hAnsi="Tahoma" w:cs="Tahoma"/>
                <w:szCs w:val="22"/>
              </w:rPr>
              <w:t>antyszokowej</w:t>
            </w:r>
            <w:proofErr w:type="spellEnd"/>
            <w:r w:rsidRPr="00B6035D">
              <w:rPr>
                <w:rFonts w:ascii="Tahoma" w:hAnsi="Tahoma" w:cs="Tahoma"/>
                <w:szCs w:val="22"/>
              </w:rPr>
              <w:t>, anty-</w:t>
            </w:r>
            <w:proofErr w:type="spellStart"/>
            <w:r w:rsidRPr="00B6035D">
              <w:rPr>
                <w:rFonts w:ascii="Tahoma" w:hAnsi="Tahoma" w:cs="Tahoma"/>
                <w:szCs w:val="22"/>
              </w:rPr>
              <w:t>Trendelenburga</w:t>
            </w:r>
            <w:proofErr w:type="spellEnd"/>
            <w:r w:rsidRPr="00B6035D">
              <w:rPr>
                <w:rFonts w:ascii="Tahoma" w:hAnsi="Tahoma" w:cs="Tahoma"/>
                <w:szCs w:val="22"/>
              </w:rPr>
              <w:t>. Min. 3 oznaczone innymi kolorami strefy w panelu sterowania w celu bardziej intuicyjnej obsługi. Panel wyposażony w przycisk aktywujący i osobny przycisk deaktywujący sterowania łóżka.</w:t>
            </w:r>
          </w:p>
          <w:p w:rsidR="001B608D" w:rsidRPr="001B608D" w:rsidRDefault="001B608D" w:rsidP="001B608D">
            <w:pPr>
              <w:pStyle w:val="Akapitzlist"/>
              <w:ind w:left="3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Długość zewnętrzna łóżka –  2150</w:t>
            </w:r>
            <w:r w:rsidR="00883A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6035D">
              <w:rPr>
                <w:rFonts w:ascii="Tahoma" w:hAnsi="Tahoma" w:cs="Tahoma"/>
                <w:sz w:val="22"/>
                <w:szCs w:val="22"/>
              </w:rPr>
              <w:t>mm (+/- 30</w:t>
            </w:r>
            <w:r w:rsidR="00883A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6035D">
              <w:rPr>
                <w:rFonts w:ascii="Tahoma" w:hAnsi="Tahoma" w:cs="Tahoma"/>
                <w:sz w:val="22"/>
                <w:szCs w:val="22"/>
              </w:rPr>
              <w:t>mm)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Funkcja przedłużenia leża min 150</w:t>
            </w:r>
            <w:r w:rsidR="00883A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6035D">
              <w:rPr>
                <w:rFonts w:ascii="Tahoma" w:hAnsi="Tahoma" w:cs="Tahoma"/>
                <w:sz w:val="22"/>
                <w:szCs w:val="22"/>
              </w:rPr>
              <w:t>mm (+/-20</w:t>
            </w:r>
            <w:r w:rsidR="00883A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6035D">
              <w:rPr>
                <w:rFonts w:ascii="Tahoma" w:hAnsi="Tahoma" w:cs="Tahoma"/>
                <w:sz w:val="22"/>
                <w:szCs w:val="22"/>
              </w:rPr>
              <w:t xml:space="preserve">mm). Funkcja przedłużenia leża realizowana za pomocą mechanizmów samozatrzaskowych 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Szerokość zewnętrzna łóżka – 950</w:t>
            </w:r>
            <w:r w:rsidR="00883A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6035D">
              <w:rPr>
                <w:rFonts w:ascii="Tahoma" w:hAnsi="Tahoma" w:cs="Tahoma"/>
                <w:sz w:val="22"/>
                <w:szCs w:val="22"/>
              </w:rPr>
              <w:t>mm (+/-40</w:t>
            </w:r>
            <w:r w:rsidR="00883A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6035D">
              <w:rPr>
                <w:rFonts w:ascii="Tahoma" w:hAnsi="Tahoma" w:cs="Tahoma"/>
                <w:sz w:val="22"/>
                <w:szCs w:val="22"/>
              </w:rPr>
              <w:t>mm)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Wymiary leża 2000mm x 900mm (+/- 20</w:t>
            </w:r>
            <w:r w:rsidR="00883A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6035D">
              <w:rPr>
                <w:rFonts w:ascii="Tahoma" w:hAnsi="Tahoma" w:cs="Tahoma"/>
                <w:sz w:val="22"/>
                <w:szCs w:val="22"/>
              </w:rPr>
              <w:t>mm)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Regulacja elektryczna wysokości leża, w zakresie 350 mm do 750 mm (+/- 20</w:t>
            </w:r>
            <w:r w:rsidR="00883A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6035D">
              <w:rPr>
                <w:rFonts w:ascii="Tahoma" w:hAnsi="Tahoma" w:cs="Tahoma"/>
                <w:sz w:val="22"/>
                <w:szCs w:val="22"/>
              </w:rPr>
              <w:t>mm), gwarantująca bezpieczne opuszczanie łóżka i zapobiegająca „zeskakiwaniu z łóżka” /nie dotykaniu pełnymi stopami podłogi podczas opuszczania łóżka/. Nie dopuszcza się rozwiązań o wysokości minimalnej wyższej narażającej pacjenta na ryzyko upadków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Regulacja elektryczna części plecowej w zakresie  70</w:t>
            </w:r>
            <w:r w:rsidRPr="00B6035D"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 w:rsidRPr="00B6035D">
              <w:rPr>
                <w:rFonts w:ascii="Tahoma" w:hAnsi="Tahoma" w:cs="Tahoma"/>
                <w:sz w:val="22"/>
                <w:szCs w:val="22"/>
              </w:rPr>
              <w:t xml:space="preserve"> (+/-5</w:t>
            </w:r>
            <w:r w:rsidRPr="00B6035D">
              <w:rPr>
                <w:rFonts w:ascii="Tahoma" w:hAnsi="Tahoma" w:cs="Tahoma"/>
                <w:sz w:val="22"/>
                <w:szCs w:val="22"/>
                <w:vertAlign w:val="superscript"/>
              </w:rPr>
              <w:t>o</w:t>
            </w:r>
            <w:r w:rsidRPr="00B6035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Regulacja elektryczna części nożnej w zakresie 30</w:t>
            </w:r>
            <w:r w:rsidRPr="00B6035D"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 w:rsidRPr="00B6035D">
              <w:rPr>
                <w:rFonts w:ascii="Tahoma" w:hAnsi="Tahoma" w:cs="Tahoma"/>
                <w:sz w:val="22"/>
                <w:szCs w:val="22"/>
              </w:rPr>
              <w:t xml:space="preserve"> (+/-5</w:t>
            </w:r>
            <w:r w:rsidRPr="00B6035D">
              <w:rPr>
                <w:rFonts w:ascii="Tahoma" w:hAnsi="Tahoma" w:cs="Tahoma"/>
                <w:sz w:val="22"/>
                <w:szCs w:val="22"/>
                <w:vertAlign w:val="superscript"/>
              </w:rPr>
              <w:t>o</w:t>
            </w:r>
            <w:r w:rsidRPr="00B6035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 xml:space="preserve">Zasilanie 230 V, 50 </w:t>
            </w:r>
            <w:proofErr w:type="spellStart"/>
            <w:r w:rsidRPr="00B6035D">
              <w:rPr>
                <w:rFonts w:ascii="Tahoma" w:hAnsi="Tahoma" w:cs="Tahoma"/>
                <w:sz w:val="22"/>
                <w:szCs w:val="22"/>
              </w:rPr>
              <w:t>Hz</w:t>
            </w:r>
            <w:proofErr w:type="spellEnd"/>
            <w:r w:rsidRPr="00B6035D">
              <w:rPr>
                <w:rFonts w:ascii="Tahoma" w:hAnsi="Tahoma" w:cs="Tahoma"/>
                <w:sz w:val="22"/>
                <w:szCs w:val="22"/>
              </w:rPr>
              <w:t xml:space="preserve"> z sygnalizacją włączenia do sieci w celu uniknięcia nieświadomego wyrwania kabla z gniazdka i uszkodzenia łóżka lub gniazdka. </w:t>
            </w:r>
          </w:p>
          <w:p w:rsidR="00B6035D" w:rsidRPr="00B6035D" w:rsidRDefault="00B6035D" w:rsidP="00234797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Kabel zasilający w przewodzie skręcanym rozciągliwym. Nie dopuszcza się przewodów prostych.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Wbudowany akumulator do zasilania podczas transportu lub w sytuacjach zaniku prądu. Diodowy wskaźnik stanu naładowania akumulatora w panelu sterowania dla personelu. Diodowy wskaźnik informujący dodatkowo o konieczności wymiany baterii.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 xml:space="preserve">Regulacja elektryczna funkcji </w:t>
            </w:r>
            <w:proofErr w:type="spellStart"/>
            <w:r w:rsidRPr="00B6035D">
              <w:rPr>
                <w:rFonts w:ascii="Tahoma" w:hAnsi="Tahoma" w:cs="Tahoma"/>
                <w:sz w:val="22"/>
                <w:szCs w:val="22"/>
              </w:rPr>
              <w:t>autokontur</w:t>
            </w:r>
            <w:proofErr w:type="spellEnd"/>
            <w:r w:rsidRPr="00B6035D">
              <w:rPr>
                <w:rFonts w:ascii="Tahoma" w:hAnsi="Tahoma" w:cs="Tahoma"/>
                <w:sz w:val="22"/>
                <w:szCs w:val="22"/>
              </w:rPr>
              <w:t>, sterowanie przy pomocy przycisków w barierkach i z panelu sterowania dla personelu montowanego na szczycie łóżka od strony nóg.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Tak, podać</w:t>
            </w:r>
          </w:p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Tak,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883A08" w:rsidP="002347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</w:t>
            </w:r>
            <w:r w:rsidR="00B6035D" w:rsidRPr="00B6035D">
              <w:rPr>
                <w:rFonts w:ascii="Tahoma" w:hAnsi="Tahoma" w:cs="Tahoma"/>
                <w:sz w:val="22"/>
                <w:szCs w:val="22"/>
              </w:rPr>
              <w:t xml:space="preserve">egulacja elektryczna pozycji </w:t>
            </w:r>
            <w:proofErr w:type="spellStart"/>
            <w:r w:rsidR="00B6035D" w:rsidRPr="00B6035D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="00B6035D" w:rsidRPr="00B6035D">
              <w:rPr>
                <w:rFonts w:ascii="Tahoma" w:hAnsi="Tahoma" w:cs="Tahoma"/>
                <w:sz w:val="22"/>
                <w:szCs w:val="22"/>
              </w:rPr>
              <w:t xml:space="preserve"> 15</w:t>
            </w:r>
            <w:r w:rsidR="00B6035D" w:rsidRPr="00B6035D"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 w:rsidR="00B6035D" w:rsidRPr="00B6035D">
              <w:rPr>
                <w:rFonts w:ascii="Tahoma" w:hAnsi="Tahoma" w:cs="Tahoma"/>
                <w:sz w:val="22"/>
                <w:szCs w:val="22"/>
              </w:rPr>
              <w:t xml:space="preserve"> – sterowanie z panelu sterowniczego montowanego na szczycie łóżka od strony nóg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883A08" w:rsidP="002347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</w:t>
            </w:r>
            <w:r w:rsidR="00B6035D" w:rsidRPr="00B6035D">
              <w:rPr>
                <w:rFonts w:ascii="Tahoma" w:hAnsi="Tahoma" w:cs="Tahoma"/>
                <w:sz w:val="22"/>
                <w:szCs w:val="22"/>
              </w:rPr>
              <w:t>egulacja elektryczna pozycji anty-</w:t>
            </w:r>
            <w:proofErr w:type="spellStart"/>
            <w:r w:rsidR="00B6035D" w:rsidRPr="00B6035D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="00B6035D" w:rsidRPr="00B6035D">
              <w:rPr>
                <w:rFonts w:ascii="Tahoma" w:hAnsi="Tahoma" w:cs="Tahoma"/>
                <w:sz w:val="22"/>
                <w:szCs w:val="22"/>
              </w:rPr>
              <w:t xml:space="preserve">  15</w:t>
            </w:r>
            <w:r w:rsidR="00B6035D" w:rsidRPr="00B6035D"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 w:rsidR="00B6035D" w:rsidRPr="00B6035D">
              <w:rPr>
                <w:rFonts w:ascii="Tahoma" w:hAnsi="Tahoma" w:cs="Tahoma"/>
                <w:sz w:val="22"/>
                <w:szCs w:val="22"/>
              </w:rPr>
              <w:t xml:space="preserve"> – sterowanie z panelu sterowniczego montowanego na szczycie łóżka od strony nóg. 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 xml:space="preserve">Regulacja elektryczna do pozycji CPR, – sterowanie przy pomocy jednego oznaczonego odpowiednim piktogramem przycisku na panelu sterowniczym 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 xml:space="preserve">Regulacja elektryczna do pozycji  </w:t>
            </w:r>
            <w:proofErr w:type="spellStart"/>
            <w:r w:rsidRPr="00B6035D">
              <w:rPr>
                <w:rFonts w:ascii="Tahoma" w:hAnsi="Tahoma" w:cs="Tahoma"/>
                <w:sz w:val="22"/>
                <w:szCs w:val="22"/>
              </w:rPr>
              <w:t>antyszokowej</w:t>
            </w:r>
            <w:proofErr w:type="spellEnd"/>
            <w:r w:rsidRPr="00B6035D">
              <w:rPr>
                <w:rFonts w:ascii="Tahoma" w:hAnsi="Tahoma" w:cs="Tahoma"/>
                <w:sz w:val="22"/>
                <w:szCs w:val="22"/>
              </w:rPr>
              <w:t xml:space="preserve"> – sterowanie przy pomocy jednego oznaczonego odpowiednim piktogramem przycisku na panelu sterowniczym. Oznaczony innym kolorem niż funkcja anty-</w:t>
            </w:r>
            <w:proofErr w:type="spellStart"/>
            <w:r w:rsidRPr="00B6035D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B6035D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Zabezpieczenie przed nieświadomym uruchomieniem funkcji poprzez konieczność wciśnięcia przycisku uruchamiającego dostępność funkcji. Przycisk aktywacji na panelu dla personelu i w barierkach. Naciśnięcie przycisku aktywacji w barierkach lub panelu sterowania aktywuje wszystkie sterowniki.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Odłączenie wszelkich regulacji po min. 180 sekundach nieużywania regulacji, za wyjątkiem funkcji ratujących życie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 xml:space="preserve">Przycisk bezpieczeństwa (oznaczony charakterystycznie: STOP lub tez o innym oznaczeniu) natychmiastowe </w:t>
            </w:r>
            <w:r w:rsidRPr="00B6035D">
              <w:rPr>
                <w:rFonts w:ascii="Tahoma" w:hAnsi="Tahoma" w:cs="Tahoma"/>
                <w:sz w:val="22"/>
                <w:szCs w:val="22"/>
              </w:rPr>
              <w:lastRenderedPageBreak/>
              <w:t xml:space="preserve">odłączenie wszystkich (za wyjątkiem funkcji ratujących życie)  funkcji elektrycznych w przypadku wystąpienia zagrożenia dla pacjenta lub personelu również odcinający funkcje w przypadku braku podłączenia do sieci – pracy na akumulatorze. </w:t>
            </w:r>
          </w:p>
          <w:p w:rsidR="001B608D" w:rsidRPr="001B608D" w:rsidRDefault="001B608D" w:rsidP="002347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lastRenderedPageBreak/>
              <w:t>Tak</w:t>
            </w:r>
          </w:p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Elektryczna i mechaniczna funkcja CPR,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608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 xml:space="preserve">Bezpieczne obciążenie robocze dla każdej pozycji leża i segmentów na poziomie minimum </w:t>
            </w:r>
            <w:r w:rsidRPr="006935EB">
              <w:rPr>
                <w:rFonts w:ascii="Tahoma" w:hAnsi="Tahoma" w:cs="Tahoma"/>
                <w:sz w:val="22"/>
                <w:szCs w:val="22"/>
              </w:rPr>
              <w:t>250kg.</w:t>
            </w:r>
            <w:r w:rsidRPr="00B6035D">
              <w:rPr>
                <w:rFonts w:ascii="Tahoma" w:hAnsi="Tahoma" w:cs="Tahoma"/>
                <w:sz w:val="22"/>
                <w:szCs w:val="22"/>
              </w:rPr>
              <w:t xml:space="preserve"> Pozwalające na wszystkie możliwe regulacje przy tym obciążeniu bez narażenia bezpieczeństwa pacjenta i powstanie incydentu medycznego.</w:t>
            </w:r>
          </w:p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Wysuwana spod szczytu od strony nóg rozkładana półka na pościel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Tuleje do montowania wysięgnika ręki lub kroplówki w każdym narożniku, w tulejach tworzywowy wkład</w:t>
            </w:r>
          </w:p>
          <w:p w:rsidR="001B608D" w:rsidRPr="001B608D" w:rsidRDefault="001B608D" w:rsidP="002347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 xml:space="preserve">System elektrycznej ochrony przed uszkodzeniem łóżka w wyniku przeciążenia, polegający na wyłączeniu regulacji łóżka w przypadku przekroczenia dopuszczalnego obciążenia </w:t>
            </w:r>
          </w:p>
          <w:p w:rsidR="001B608D" w:rsidRPr="001B608D" w:rsidRDefault="001B608D" w:rsidP="002347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 xml:space="preserve">Tak 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Złącze wyrównania potencjału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B6035D" w:rsidTr="00E43016">
        <w:trPr>
          <w:trHeight w:val="320"/>
        </w:trPr>
        <w:tc>
          <w:tcPr>
            <w:tcW w:w="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Wyposażenie łóżka:</w:t>
            </w:r>
          </w:p>
          <w:p w:rsidR="00B6035D" w:rsidRPr="00B6035D" w:rsidRDefault="00B6035D" w:rsidP="00E43016">
            <w:pPr>
              <w:widowControl/>
              <w:numPr>
                <w:ilvl w:val="0"/>
                <w:numId w:val="5"/>
              </w:numPr>
              <w:ind w:left="160" w:hanging="142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Barierki opisane powyżej,</w:t>
            </w:r>
          </w:p>
          <w:p w:rsidR="00B6035D" w:rsidRPr="00B6035D" w:rsidRDefault="00B6035D" w:rsidP="00E43016">
            <w:pPr>
              <w:widowControl/>
              <w:numPr>
                <w:ilvl w:val="0"/>
                <w:numId w:val="5"/>
              </w:numPr>
              <w:ind w:left="160" w:hanging="142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Materac szpitalny w pokrowcu paroprzepuszczalnym.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B6035D" w:rsidRPr="00B6035D" w:rsidRDefault="00B6035D" w:rsidP="002347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035D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035D" w:rsidRPr="00B6035D" w:rsidRDefault="00B6035D" w:rsidP="002347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016" w:rsidRPr="00DA1791" w:rsidTr="00E4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0"/>
        </w:trPr>
        <w:tc>
          <w:tcPr>
            <w:tcW w:w="1220" w:type="dxa"/>
            <w:vAlign w:val="center"/>
          </w:tcPr>
          <w:p w:rsidR="00E43016" w:rsidRPr="00DA1791" w:rsidRDefault="00E43016" w:rsidP="001D6042">
            <w:pPr>
              <w:ind w:left="7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06" w:type="dxa"/>
            <w:vAlign w:val="center"/>
          </w:tcPr>
          <w:p w:rsidR="00E43016" w:rsidRPr="00DA1791" w:rsidRDefault="00E43016" w:rsidP="001D6042">
            <w:pPr>
              <w:pStyle w:val="Style35"/>
              <w:widowControl/>
              <w:spacing w:line="250" w:lineRule="exact"/>
              <w:ind w:right="58"/>
              <w:rPr>
                <w:rFonts w:ascii="Tahoma" w:hAnsi="Tahoma" w:cs="Tahoma"/>
                <w:b/>
                <w:sz w:val="22"/>
                <w:szCs w:val="22"/>
              </w:rPr>
            </w:pPr>
            <w:r w:rsidRPr="00DA1791">
              <w:rPr>
                <w:rFonts w:ascii="Tahoma" w:hAnsi="Tahoma" w:cs="Tahoma"/>
                <w:b/>
                <w:sz w:val="22"/>
                <w:szCs w:val="22"/>
              </w:rPr>
              <w:t>Pozostałe wymagania</w:t>
            </w:r>
          </w:p>
        </w:tc>
        <w:tc>
          <w:tcPr>
            <w:tcW w:w="1472" w:type="dxa"/>
            <w:vAlign w:val="center"/>
          </w:tcPr>
          <w:p w:rsidR="00E43016" w:rsidRPr="00DA1791" w:rsidRDefault="00E43016" w:rsidP="001D6042">
            <w:pPr>
              <w:jc w:val="center"/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E43016" w:rsidRPr="00DA1791" w:rsidRDefault="00E43016" w:rsidP="001D6042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E43016" w:rsidRPr="00DA1791" w:rsidRDefault="00E43016" w:rsidP="001D6042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E43016" w:rsidRPr="00DA1791" w:rsidTr="00E4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0"/>
        </w:trPr>
        <w:tc>
          <w:tcPr>
            <w:tcW w:w="1220" w:type="dxa"/>
            <w:vAlign w:val="center"/>
          </w:tcPr>
          <w:p w:rsidR="00E43016" w:rsidRPr="00E43016" w:rsidRDefault="00E43016" w:rsidP="00E43016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vAlign w:val="center"/>
          </w:tcPr>
          <w:p w:rsidR="00E43016" w:rsidRPr="00DA1791" w:rsidRDefault="00E43016" w:rsidP="001D6042">
            <w:pPr>
              <w:pStyle w:val="Style35"/>
              <w:widowControl/>
              <w:spacing w:line="250" w:lineRule="exact"/>
              <w:ind w:right="58"/>
              <w:rPr>
                <w:rFonts w:ascii="Tahoma" w:hAnsi="Tahoma" w:cs="Tahoma"/>
                <w:sz w:val="22"/>
                <w:szCs w:val="22"/>
              </w:rPr>
            </w:pPr>
            <w:r w:rsidRPr="00DA1791">
              <w:rPr>
                <w:rFonts w:ascii="Tahoma" w:hAnsi="Tahoma" w:cs="Tahoma"/>
                <w:sz w:val="22"/>
                <w:szCs w:val="22"/>
              </w:rPr>
              <w:t xml:space="preserve">Deklaracja zgodności CE wydana przez producenta łóżka i materaca </w:t>
            </w:r>
          </w:p>
        </w:tc>
        <w:tc>
          <w:tcPr>
            <w:tcW w:w="1472" w:type="dxa"/>
          </w:tcPr>
          <w:p w:rsidR="00E43016" w:rsidRPr="00DA1791" w:rsidRDefault="00E43016" w:rsidP="001D6042">
            <w:pPr>
              <w:jc w:val="center"/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  <w:r w:rsidRPr="004B579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8" w:type="dxa"/>
          </w:tcPr>
          <w:p w:rsidR="00E43016" w:rsidRPr="00DA1791" w:rsidRDefault="00E43016" w:rsidP="001D6042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E43016" w:rsidRPr="00DA1791" w:rsidRDefault="00E43016" w:rsidP="001D6042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E43016" w:rsidRPr="00DA1791" w:rsidTr="00E4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0"/>
        </w:trPr>
        <w:tc>
          <w:tcPr>
            <w:tcW w:w="1220" w:type="dxa"/>
            <w:vAlign w:val="center"/>
          </w:tcPr>
          <w:p w:rsidR="00E43016" w:rsidRPr="00E43016" w:rsidRDefault="00E43016" w:rsidP="00E43016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vAlign w:val="center"/>
          </w:tcPr>
          <w:p w:rsidR="00E43016" w:rsidRPr="00DA1791" w:rsidRDefault="00E43016" w:rsidP="001D6042">
            <w:pPr>
              <w:pStyle w:val="Style35"/>
              <w:widowControl/>
              <w:spacing w:line="250" w:lineRule="exact"/>
              <w:ind w:right="58"/>
              <w:rPr>
                <w:rFonts w:ascii="Tahoma" w:hAnsi="Tahoma" w:cs="Tahoma"/>
                <w:sz w:val="22"/>
                <w:szCs w:val="22"/>
              </w:rPr>
            </w:pPr>
            <w:r w:rsidRPr="00DA1791">
              <w:rPr>
                <w:rFonts w:ascii="Tahoma" w:hAnsi="Tahoma" w:cs="Tahoma"/>
                <w:sz w:val="22"/>
                <w:szCs w:val="22"/>
              </w:rPr>
              <w:t xml:space="preserve">Wpis lub zgłoszenie do RWM w Polsce dla łóżka i materaca – stosowny dokument </w:t>
            </w:r>
          </w:p>
        </w:tc>
        <w:tc>
          <w:tcPr>
            <w:tcW w:w="1472" w:type="dxa"/>
          </w:tcPr>
          <w:p w:rsidR="00E43016" w:rsidRPr="00DA1791" w:rsidRDefault="00E43016" w:rsidP="001D6042">
            <w:pPr>
              <w:jc w:val="center"/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  <w:r w:rsidRPr="004B579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8" w:type="dxa"/>
          </w:tcPr>
          <w:p w:rsidR="00E43016" w:rsidRPr="00DA1791" w:rsidRDefault="00E43016" w:rsidP="001D6042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E43016" w:rsidRPr="00DA1791" w:rsidRDefault="00E43016" w:rsidP="001D6042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E43016" w:rsidRPr="00DA1791" w:rsidTr="00E4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0"/>
        </w:trPr>
        <w:tc>
          <w:tcPr>
            <w:tcW w:w="1220" w:type="dxa"/>
            <w:vAlign w:val="center"/>
          </w:tcPr>
          <w:p w:rsidR="00E43016" w:rsidRPr="00E43016" w:rsidRDefault="00E43016" w:rsidP="00E43016">
            <w:pPr>
              <w:widowControl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6" w:type="dxa"/>
            <w:vAlign w:val="center"/>
          </w:tcPr>
          <w:p w:rsidR="00E43016" w:rsidRPr="00DA1791" w:rsidRDefault="00E43016" w:rsidP="001D6042">
            <w:pPr>
              <w:pStyle w:val="Style35"/>
              <w:widowControl/>
              <w:spacing w:line="250" w:lineRule="exact"/>
              <w:ind w:right="58"/>
              <w:rPr>
                <w:rFonts w:ascii="Tahoma" w:hAnsi="Tahoma" w:cs="Tahoma"/>
                <w:sz w:val="22"/>
                <w:szCs w:val="22"/>
              </w:rPr>
            </w:pPr>
            <w:r w:rsidRPr="00DA1791">
              <w:rPr>
                <w:rFonts w:ascii="Tahoma" w:hAnsi="Tahoma" w:cs="Tahoma"/>
                <w:sz w:val="22"/>
                <w:szCs w:val="22"/>
              </w:rPr>
              <w:t>Gwarancja min. 24 miesiące</w:t>
            </w:r>
          </w:p>
        </w:tc>
        <w:tc>
          <w:tcPr>
            <w:tcW w:w="1472" w:type="dxa"/>
          </w:tcPr>
          <w:p w:rsidR="00E43016" w:rsidRPr="00DA1791" w:rsidRDefault="00E43016" w:rsidP="001D6042">
            <w:pPr>
              <w:jc w:val="center"/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  <w:r w:rsidRPr="004B5790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Tak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708" w:type="dxa"/>
          </w:tcPr>
          <w:p w:rsidR="00E43016" w:rsidRPr="00DA1791" w:rsidRDefault="00E43016" w:rsidP="001D6042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E43016" w:rsidRDefault="00E43016" w:rsidP="001D6042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 m-ce – 0 pkt.</w:t>
            </w:r>
            <w:r>
              <w:rPr>
                <w:rFonts w:ascii="Tahoma" w:hAnsi="Tahoma" w:cs="Tahoma"/>
                <w:sz w:val="22"/>
                <w:szCs w:val="22"/>
              </w:rPr>
              <w:br/>
              <w:t>24 -36 m-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-5 pkt.</w:t>
            </w:r>
          </w:p>
          <w:p w:rsidR="00E43016" w:rsidRPr="00DA1791" w:rsidRDefault="00E43016" w:rsidP="001D6042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Powyżej 36 m-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10 pkt.</w:t>
            </w:r>
          </w:p>
        </w:tc>
      </w:tr>
    </w:tbl>
    <w:p w:rsidR="00067673" w:rsidRPr="00B6035D" w:rsidRDefault="00067673">
      <w:pPr>
        <w:rPr>
          <w:rFonts w:ascii="Tahoma" w:hAnsi="Tahoma" w:cs="Tahoma"/>
          <w:sz w:val="22"/>
          <w:szCs w:val="22"/>
        </w:rPr>
      </w:pPr>
    </w:p>
    <w:p w:rsidR="0091609D" w:rsidRPr="0091609D" w:rsidRDefault="0091609D" w:rsidP="0091609D">
      <w:pPr>
        <w:tabs>
          <w:tab w:val="left" w:pos="0"/>
        </w:tabs>
        <w:jc w:val="both"/>
        <w:rPr>
          <w:rFonts w:ascii="Tahoma" w:eastAsia="Batang" w:hAnsi="Tahoma" w:cs="Tahoma"/>
          <w:sz w:val="22"/>
          <w:szCs w:val="22"/>
        </w:rPr>
      </w:pPr>
      <w:r w:rsidRPr="0091609D">
        <w:rPr>
          <w:rFonts w:ascii="Tahoma" w:eastAsia="Batang" w:hAnsi="Tahoma" w:cs="Tahoma"/>
          <w:b/>
          <w:sz w:val="22"/>
          <w:szCs w:val="22"/>
        </w:rPr>
        <w:lastRenderedPageBreak/>
        <w:t>UWAGA:</w:t>
      </w:r>
      <w:r w:rsidRPr="0091609D">
        <w:rPr>
          <w:rFonts w:ascii="Tahoma" w:eastAsia="Batang" w:hAnsi="Tahoma" w:cs="Tahoma"/>
          <w:sz w:val="22"/>
          <w:szCs w:val="22"/>
        </w:rPr>
        <w:t xml:space="preserve"> </w:t>
      </w:r>
    </w:p>
    <w:p w:rsidR="0091609D" w:rsidRPr="0091609D" w:rsidRDefault="0091609D" w:rsidP="0091609D">
      <w:pPr>
        <w:tabs>
          <w:tab w:val="left" w:pos="-567"/>
          <w:tab w:val="left" w:pos="0"/>
        </w:tabs>
        <w:ind w:right="-2"/>
        <w:jc w:val="both"/>
        <w:rPr>
          <w:rFonts w:ascii="Tahoma" w:eastAsia="Batang" w:hAnsi="Tahoma" w:cs="Tahoma"/>
          <w:sz w:val="22"/>
          <w:szCs w:val="22"/>
        </w:rPr>
      </w:pPr>
      <w:r w:rsidRPr="0091609D">
        <w:rPr>
          <w:rFonts w:ascii="Tahoma" w:eastAsia="Batang" w:hAnsi="Tahoma" w:cs="Tahoma"/>
          <w:sz w:val="22"/>
          <w:szCs w:val="22"/>
        </w:rPr>
        <w:t>Podane wartości stanowią nieprzekraczalne minimum, którego niespełnienie (brak żądanej opcji) spowoduje odrzucenie oferty</w:t>
      </w:r>
      <w:r w:rsidRPr="0091609D">
        <w:rPr>
          <w:rFonts w:ascii="Tahoma" w:eastAsia="Batang" w:hAnsi="Tahoma" w:cs="Tahoma"/>
          <w:bCs/>
          <w:sz w:val="22"/>
          <w:szCs w:val="22"/>
        </w:rPr>
        <w:t xml:space="preserve">. </w:t>
      </w:r>
      <w:r w:rsidRPr="0091609D">
        <w:rPr>
          <w:rFonts w:ascii="Tahoma" w:eastAsia="Batang" w:hAnsi="Tahoma" w:cs="Tahoma"/>
          <w:sz w:val="22"/>
          <w:szCs w:val="22"/>
        </w:rPr>
        <w:t xml:space="preserve">Brak opisu lub potwierdzenia wymaganego parametru/warunku traktowany będzie jako brak danego parametru/warunku w oferowanej konfiguracji urządzenia </w:t>
      </w:r>
      <w:r w:rsidRPr="0091609D">
        <w:rPr>
          <w:rFonts w:ascii="Tahoma" w:eastAsia="Batang" w:hAnsi="Tahoma" w:cs="Tahoma"/>
          <w:sz w:val="22"/>
          <w:szCs w:val="22"/>
        </w:rPr>
        <w:br/>
        <w:t>i skutkować będzie odrzuceniem oferty.</w:t>
      </w:r>
    </w:p>
    <w:p w:rsidR="0091609D" w:rsidRPr="0091609D" w:rsidRDefault="0091609D" w:rsidP="0091609D">
      <w:pPr>
        <w:ind w:left="-142"/>
        <w:rPr>
          <w:rFonts w:ascii="Tahoma" w:hAnsi="Tahoma" w:cs="Tahoma"/>
          <w:sz w:val="22"/>
          <w:szCs w:val="22"/>
          <w:lang w:eastAsia="ar-SA"/>
        </w:rPr>
      </w:pPr>
    </w:p>
    <w:p w:rsidR="0091609D" w:rsidRPr="0091609D" w:rsidRDefault="0091609D" w:rsidP="0091609D">
      <w:p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1609D" w:rsidRPr="0091609D" w:rsidRDefault="0091609D" w:rsidP="0091609D">
      <w:pPr>
        <w:rPr>
          <w:rFonts w:ascii="Tahoma" w:hAnsi="Tahoma"/>
          <w:sz w:val="22"/>
          <w:szCs w:val="22"/>
        </w:rPr>
      </w:pPr>
      <w:r w:rsidRPr="0091609D">
        <w:rPr>
          <w:rFonts w:ascii="Tahoma" w:hAnsi="Tahoma"/>
          <w:sz w:val="22"/>
          <w:szCs w:val="22"/>
        </w:rPr>
        <w:t xml:space="preserve">                                                                           . . . . . . . . . . . . . . . . . . . . . . . . . . . . . </w:t>
      </w:r>
    </w:p>
    <w:p w:rsidR="0091609D" w:rsidRPr="0091609D" w:rsidRDefault="0091609D" w:rsidP="0091609D">
      <w:pPr>
        <w:ind w:left="4956"/>
        <w:rPr>
          <w:rFonts w:ascii="Tahoma" w:hAnsi="Tahoma" w:cstheme="minorBidi"/>
          <w:i/>
          <w:sz w:val="22"/>
          <w:szCs w:val="22"/>
        </w:rPr>
      </w:pPr>
      <w:r w:rsidRPr="0091609D">
        <w:rPr>
          <w:rFonts w:ascii="Tahoma" w:hAnsi="Tahoma"/>
          <w:i/>
          <w:sz w:val="22"/>
          <w:szCs w:val="22"/>
        </w:rPr>
        <w:t xml:space="preserve">    Pieczątka i podpis osoby umocowanej </w:t>
      </w:r>
    </w:p>
    <w:p w:rsidR="0091609D" w:rsidRPr="0091609D" w:rsidRDefault="0091609D" w:rsidP="0091609D">
      <w:pPr>
        <w:ind w:left="4956"/>
        <w:rPr>
          <w:rFonts w:ascii="Tahoma" w:hAnsi="Tahoma"/>
          <w:i/>
          <w:sz w:val="22"/>
          <w:szCs w:val="22"/>
        </w:rPr>
      </w:pPr>
      <w:r w:rsidRPr="0091609D">
        <w:rPr>
          <w:rFonts w:ascii="Tahoma" w:hAnsi="Tahoma"/>
          <w:i/>
          <w:sz w:val="22"/>
          <w:szCs w:val="22"/>
        </w:rPr>
        <w:t xml:space="preserve">       do reprezentowania Wykonawcy</w:t>
      </w:r>
    </w:p>
    <w:p w:rsidR="00067673" w:rsidRPr="00B6035D" w:rsidRDefault="00067673">
      <w:pPr>
        <w:rPr>
          <w:rFonts w:ascii="Tahoma" w:hAnsi="Tahoma" w:cs="Tahoma"/>
          <w:sz w:val="22"/>
          <w:szCs w:val="22"/>
        </w:rPr>
      </w:pPr>
    </w:p>
    <w:p w:rsidR="00067673" w:rsidRPr="00B6035D" w:rsidRDefault="00067673">
      <w:pPr>
        <w:rPr>
          <w:rFonts w:ascii="Tahoma" w:hAnsi="Tahoma" w:cs="Tahoma"/>
          <w:sz w:val="22"/>
          <w:szCs w:val="22"/>
        </w:rPr>
      </w:pPr>
    </w:p>
    <w:sectPr w:rsidR="00067673" w:rsidRPr="00B6035D" w:rsidSect="002A7BB1">
      <w:pgSz w:w="11906" w:h="16838"/>
      <w:pgMar w:top="1418" w:right="1191" w:bottom="907" w:left="119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0EB4"/>
    <w:multiLevelType w:val="hybridMultilevel"/>
    <w:tmpl w:val="19F8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64E0"/>
    <w:multiLevelType w:val="hybridMultilevel"/>
    <w:tmpl w:val="E842DE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355DC"/>
    <w:multiLevelType w:val="multilevel"/>
    <w:tmpl w:val="5500783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77AF8"/>
    <w:multiLevelType w:val="hybridMultilevel"/>
    <w:tmpl w:val="92DEB8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31E26"/>
    <w:multiLevelType w:val="hybridMultilevel"/>
    <w:tmpl w:val="9A6A58E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E1B27"/>
    <w:multiLevelType w:val="multilevel"/>
    <w:tmpl w:val="A94402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BB64D14"/>
    <w:multiLevelType w:val="hybridMultilevel"/>
    <w:tmpl w:val="72742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45E"/>
    <w:rsid w:val="00067673"/>
    <w:rsid w:val="000D423A"/>
    <w:rsid w:val="000F5F3C"/>
    <w:rsid w:val="0019118F"/>
    <w:rsid w:val="001B608D"/>
    <w:rsid w:val="001E4A9B"/>
    <w:rsid w:val="002156BE"/>
    <w:rsid w:val="00234797"/>
    <w:rsid w:val="002845D7"/>
    <w:rsid w:val="002A7BB1"/>
    <w:rsid w:val="002F6C09"/>
    <w:rsid w:val="00315C30"/>
    <w:rsid w:val="00380701"/>
    <w:rsid w:val="003B624C"/>
    <w:rsid w:val="0047191B"/>
    <w:rsid w:val="004C21F2"/>
    <w:rsid w:val="00554367"/>
    <w:rsid w:val="00685E9B"/>
    <w:rsid w:val="006935EB"/>
    <w:rsid w:val="006C3DDA"/>
    <w:rsid w:val="00883A08"/>
    <w:rsid w:val="0091609D"/>
    <w:rsid w:val="009622EC"/>
    <w:rsid w:val="009B089A"/>
    <w:rsid w:val="009B30F7"/>
    <w:rsid w:val="00A5355D"/>
    <w:rsid w:val="00A67339"/>
    <w:rsid w:val="00A852C4"/>
    <w:rsid w:val="00A92DB9"/>
    <w:rsid w:val="00B6035D"/>
    <w:rsid w:val="00BB66C8"/>
    <w:rsid w:val="00BD2EEC"/>
    <w:rsid w:val="00C56A99"/>
    <w:rsid w:val="00C5727A"/>
    <w:rsid w:val="00C74E0D"/>
    <w:rsid w:val="00D1244C"/>
    <w:rsid w:val="00D3345E"/>
    <w:rsid w:val="00E04BE1"/>
    <w:rsid w:val="00E10B50"/>
    <w:rsid w:val="00E311D8"/>
    <w:rsid w:val="00E43016"/>
    <w:rsid w:val="00E753E4"/>
    <w:rsid w:val="00E8445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5B14"/>
  <w15:docId w15:val="{634ECDD2-AAB6-458F-9D82-AF46EE98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5D7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qFormat/>
    <w:rsid w:val="00EF0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D3345E"/>
    <w:rPr>
      <w:rFonts w:eastAsia="Times New Roman" w:cs="Arial"/>
    </w:rPr>
  </w:style>
  <w:style w:type="character" w:customStyle="1" w:styleId="ListLabel2">
    <w:name w:val="ListLabel 2"/>
    <w:qFormat/>
    <w:rsid w:val="00D3345E"/>
    <w:rPr>
      <w:rFonts w:cs="Courier New"/>
    </w:rPr>
  </w:style>
  <w:style w:type="character" w:customStyle="1" w:styleId="ListLabel3">
    <w:name w:val="ListLabel 3"/>
    <w:qFormat/>
    <w:rsid w:val="00D3345E"/>
    <w:rPr>
      <w:rFonts w:cs="Courier New"/>
    </w:rPr>
  </w:style>
  <w:style w:type="character" w:customStyle="1" w:styleId="ListLabel4">
    <w:name w:val="ListLabel 4"/>
    <w:qFormat/>
    <w:rsid w:val="00D3345E"/>
    <w:rPr>
      <w:rFonts w:cs="Courier New"/>
    </w:rPr>
  </w:style>
  <w:style w:type="character" w:customStyle="1" w:styleId="ListLabel5">
    <w:name w:val="ListLabel 5"/>
    <w:qFormat/>
    <w:rsid w:val="00D3345E"/>
    <w:rPr>
      <w:rFonts w:cs="Courier New"/>
    </w:rPr>
  </w:style>
  <w:style w:type="character" w:customStyle="1" w:styleId="ListLabel6">
    <w:name w:val="ListLabel 6"/>
    <w:qFormat/>
    <w:rsid w:val="00D3345E"/>
    <w:rPr>
      <w:rFonts w:cs="Courier New"/>
    </w:rPr>
  </w:style>
  <w:style w:type="character" w:customStyle="1" w:styleId="ListLabel7">
    <w:name w:val="ListLabel 7"/>
    <w:qFormat/>
    <w:rsid w:val="00D3345E"/>
    <w:rPr>
      <w:rFonts w:cs="Courier New"/>
    </w:rPr>
  </w:style>
  <w:style w:type="character" w:customStyle="1" w:styleId="ListLabel8">
    <w:name w:val="ListLabel 8"/>
    <w:qFormat/>
    <w:rsid w:val="00D3345E"/>
    <w:rPr>
      <w:rFonts w:cs="Courier New"/>
    </w:rPr>
  </w:style>
  <w:style w:type="character" w:customStyle="1" w:styleId="ListLabel9">
    <w:name w:val="ListLabel 9"/>
    <w:qFormat/>
    <w:rsid w:val="00D3345E"/>
    <w:rPr>
      <w:rFonts w:cs="Courier New"/>
    </w:rPr>
  </w:style>
  <w:style w:type="character" w:customStyle="1" w:styleId="ListLabel10">
    <w:name w:val="ListLabel 10"/>
    <w:qFormat/>
    <w:rsid w:val="00D3345E"/>
    <w:rPr>
      <w:rFonts w:cs="Courier New"/>
    </w:rPr>
  </w:style>
  <w:style w:type="character" w:customStyle="1" w:styleId="ListLabel11">
    <w:name w:val="ListLabel 11"/>
    <w:qFormat/>
    <w:rsid w:val="00D3345E"/>
    <w:rPr>
      <w:rFonts w:cs="Courier New"/>
    </w:rPr>
  </w:style>
  <w:style w:type="character" w:customStyle="1" w:styleId="ListLabel12">
    <w:name w:val="ListLabel 12"/>
    <w:qFormat/>
    <w:rsid w:val="00D3345E"/>
    <w:rPr>
      <w:rFonts w:cs="Courier New"/>
    </w:rPr>
  </w:style>
  <w:style w:type="character" w:customStyle="1" w:styleId="ListLabel13">
    <w:name w:val="ListLabel 13"/>
    <w:qFormat/>
    <w:rsid w:val="00D3345E"/>
    <w:rPr>
      <w:rFonts w:cs="Courier New"/>
    </w:rPr>
  </w:style>
  <w:style w:type="character" w:customStyle="1" w:styleId="ListLabel14">
    <w:name w:val="ListLabel 14"/>
    <w:qFormat/>
    <w:rsid w:val="00D3345E"/>
    <w:rPr>
      <w:rFonts w:cs="Courier New"/>
    </w:rPr>
  </w:style>
  <w:style w:type="character" w:customStyle="1" w:styleId="ListLabel15">
    <w:name w:val="ListLabel 15"/>
    <w:qFormat/>
    <w:rsid w:val="00D3345E"/>
    <w:rPr>
      <w:rFonts w:cs="Courier New"/>
    </w:rPr>
  </w:style>
  <w:style w:type="character" w:customStyle="1" w:styleId="ListLabel16">
    <w:name w:val="ListLabel 16"/>
    <w:qFormat/>
    <w:rsid w:val="00D3345E"/>
    <w:rPr>
      <w:rFonts w:cs="Courier New"/>
    </w:rPr>
  </w:style>
  <w:style w:type="character" w:customStyle="1" w:styleId="ListLabel17">
    <w:name w:val="ListLabel 17"/>
    <w:qFormat/>
    <w:rsid w:val="00D3345E"/>
    <w:rPr>
      <w:rFonts w:cs="Courier New"/>
    </w:rPr>
  </w:style>
  <w:style w:type="character" w:customStyle="1" w:styleId="ListLabel18">
    <w:name w:val="ListLabel 18"/>
    <w:qFormat/>
    <w:rsid w:val="00D3345E"/>
    <w:rPr>
      <w:rFonts w:cs="Courier New"/>
    </w:rPr>
  </w:style>
  <w:style w:type="character" w:customStyle="1" w:styleId="ListLabel19">
    <w:name w:val="ListLabel 19"/>
    <w:qFormat/>
    <w:rsid w:val="00D3345E"/>
    <w:rPr>
      <w:rFonts w:cs="Courier New"/>
    </w:rPr>
  </w:style>
  <w:style w:type="character" w:customStyle="1" w:styleId="ListLabel20">
    <w:name w:val="ListLabel 20"/>
    <w:qFormat/>
    <w:rsid w:val="00D3345E"/>
    <w:rPr>
      <w:sz w:val="20"/>
    </w:rPr>
  </w:style>
  <w:style w:type="character" w:customStyle="1" w:styleId="ListLabel21">
    <w:name w:val="ListLabel 21"/>
    <w:qFormat/>
    <w:rsid w:val="00D3345E"/>
    <w:rPr>
      <w:sz w:val="20"/>
    </w:rPr>
  </w:style>
  <w:style w:type="character" w:customStyle="1" w:styleId="ListLabel22">
    <w:name w:val="ListLabel 22"/>
    <w:qFormat/>
    <w:rsid w:val="00D3345E"/>
    <w:rPr>
      <w:sz w:val="20"/>
    </w:rPr>
  </w:style>
  <w:style w:type="character" w:customStyle="1" w:styleId="ListLabel23">
    <w:name w:val="ListLabel 23"/>
    <w:qFormat/>
    <w:rsid w:val="00D3345E"/>
    <w:rPr>
      <w:sz w:val="20"/>
    </w:rPr>
  </w:style>
  <w:style w:type="character" w:customStyle="1" w:styleId="ListLabel24">
    <w:name w:val="ListLabel 24"/>
    <w:qFormat/>
    <w:rsid w:val="00D3345E"/>
    <w:rPr>
      <w:sz w:val="20"/>
    </w:rPr>
  </w:style>
  <w:style w:type="character" w:customStyle="1" w:styleId="ListLabel25">
    <w:name w:val="ListLabel 25"/>
    <w:qFormat/>
    <w:rsid w:val="00D3345E"/>
    <w:rPr>
      <w:sz w:val="20"/>
    </w:rPr>
  </w:style>
  <w:style w:type="character" w:customStyle="1" w:styleId="ListLabel26">
    <w:name w:val="ListLabel 26"/>
    <w:qFormat/>
    <w:rsid w:val="00D3345E"/>
    <w:rPr>
      <w:sz w:val="20"/>
    </w:rPr>
  </w:style>
  <w:style w:type="character" w:customStyle="1" w:styleId="ListLabel27">
    <w:name w:val="ListLabel 27"/>
    <w:qFormat/>
    <w:rsid w:val="00D3345E"/>
    <w:rPr>
      <w:sz w:val="20"/>
    </w:rPr>
  </w:style>
  <w:style w:type="character" w:customStyle="1" w:styleId="ListLabel28">
    <w:name w:val="ListLabel 28"/>
    <w:qFormat/>
    <w:rsid w:val="00D3345E"/>
    <w:rPr>
      <w:sz w:val="20"/>
    </w:rPr>
  </w:style>
  <w:style w:type="paragraph" w:styleId="Nagwek">
    <w:name w:val="header"/>
    <w:basedOn w:val="Normalny"/>
    <w:next w:val="Tekstpodstawowy"/>
    <w:link w:val="NagwekZnak"/>
    <w:qFormat/>
    <w:rsid w:val="00D334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3345E"/>
    <w:pPr>
      <w:spacing w:after="140" w:line="288" w:lineRule="auto"/>
    </w:pPr>
  </w:style>
  <w:style w:type="paragraph" w:styleId="Lista">
    <w:name w:val="List"/>
    <w:basedOn w:val="Tekstpodstawowy"/>
    <w:rsid w:val="00D3345E"/>
    <w:rPr>
      <w:rFonts w:cs="Mangal"/>
    </w:rPr>
  </w:style>
  <w:style w:type="paragraph" w:customStyle="1" w:styleId="Legenda1">
    <w:name w:val="Legenda1"/>
    <w:basedOn w:val="Normalny"/>
    <w:qFormat/>
    <w:rsid w:val="00D334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3345E"/>
    <w:pPr>
      <w:suppressLineNumbers/>
    </w:pPr>
    <w:rPr>
      <w:rFonts w:cs="Mangal"/>
    </w:rPr>
  </w:style>
  <w:style w:type="paragraph" w:customStyle="1" w:styleId="Stopka1">
    <w:name w:val="Stopka1"/>
    <w:basedOn w:val="Normalny"/>
    <w:link w:val="StopkaZnak"/>
    <w:rsid w:val="00EF0725"/>
    <w:pPr>
      <w:widowControl/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F0725"/>
    <w:pPr>
      <w:widowControl/>
      <w:ind w:left="720"/>
      <w:contextualSpacing/>
    </w:pPr>
    <w:rPr>
      <w:rFonts w:ascii="Verdana" w:hAnsi="Verdana"/>
      <w:sz w:val="22"/>
    </w:rPr>
  </w:style>
  <w:style w:type="paragraph" w:styleId="Adreszwrotnynakopercie">
    <w:name w:val="envelope return"/>
    <w:basedOn w:val="Normalny"/>
    <w:qFormat/>
    <w:rsid w:val="004F7C00"/>
    <w:pPr>
      <w:widowControl/>
      <w:suppressAutoHyphens/>
    </w:pPr>
    <w:rPr>
      <w:rFonts w:ascii="Arial" w:hAnsi="Arial"/>
      <w:sz w:val="24"/>
      <w:lang w:eastAsia="ar-SA"/>
    </w:rPr>
  </w:style>
  <w:style w:type="paragraph" w:customStyle="1" w:styleId="Zawartotabeli">
    <w:name w:val="Zawartość tabeli"/>
    <w:basedOn w:val="Normalny"/>
    <w:qFormat/>
    <w:rsid w:val="00D3345E"/>
  </w:style>
  <w:style w:type="paragraph" w:customStyle="1" w:styleId="Nagwektabeli">
    <w:name w:val="Nagłówek tabeli"/>
    <w:basedOn w:val="Zawartotabeli"/>
    <w:qFormat/>
    <w:rsid w:val="00D3345E"/>
  </w:style>
  <w:style w:type="paragraph" w:styleId="Stopka">
    <w:name w:val="footer"/>
    <w:basedOn w:val="Normalny"/>
    <w:rsid w:val="00BD2EEC"/>
    <w:pPr>
      <w:widowControl/>
      <w:tabs>
        <w:tab w:val="center" w:pos="4536"/>
        <w:tab w:val="right" w:pos="9072"/>
      </w:tabs>
      <w:suppressAutoHyphens/>
    </w:pPr>
    <w:rPr>
      <w:sz w:val="28"/>
      <w:lang w:eastAsia="zh-CN"/>
    </w:rPr>
  </w:style>
  <w:style w:type="character" w:customStyle="1" w:styleId="StopkaZnak1">
    <w:name w:val="Stopka Znak1"/>
    <w:basedOn w:val="Domylnaczcionkaakapitu"/>
    <w:semiHidden/>
    <w:rsid w:val="00BD2EE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">
    <w:name w:val="st"/>
    <w:basedOn w:val="Domylnaczcionkaakapitu"/>
    <w:rsid w:val="00A67339"/>
  </w:style>
  <w:style w:type="character" w:styleId="Uwydatnienie">
    <w:name w:val="Emphasis"/>
    <w:basedOn w:val="Domylnaczcionkaakapitu"/>
    <w:uiPriority w:val="20"/>
    <w:qFormat/>
    <w:rsid w:val="00A67339"/>
    <w:rPr>
      <w:i/>
      <w:iCs/>
    </w:rPr>
  </w:style>
  <w:style w:type="paragraph" w:customStyle="1" w:styleId="Style35">
    <w:name w:val="Style35"/>
    <w:basedOn w:val="Normalny"/>
    <w:rsid w:val="00E43016"/>
    <w:pPr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B608D"/>
    <w:rPr>
      <w:rFonts w:ascii="Liberation Sans" w:eastAsia="Microsoft YaHei" w:hAnsi="Liberation Sans" w:cs="Mang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dc:description/>
  <cp:lastModifiedBy>Witold Sarnowski</cp:lastModifiedBy>
  <cp:revision>6</cp:revision>
  <cp:lastPrinted>2018-07-11T13:29:00Z</cp:lastPrinted>
  <dcterms:created xsi:type="dcterms:W3CDTF">2019-01-17T08:15:00Z</dcterms:created>
  <dcterms:modified xsi:type="dcterms:W3CDTF">2019-01-23T13:57:00Z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