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F1DF" w14:textId="77777777" w:rsidR="00CC56AC" w:rsidRPr="00CC56AC" w:rsidRDefault="00CC56AC" w:rsidP="00CC56AC">
      <w:pPr>
        <w:pStyle w:val="Doktorat"/>
        <w:numPr>
          <w:ilvl w:val="0"/>
          <w:numId w:val="0"/>
        </w:numPr>
        <w:rPr>
          <w:sz w:val="24"/>
          <w:szCs w:val="24"/>
        </w:rPr>
      </w:pPr>
      <w:bookmarkStart w:id="0" w:name="_Toc204697735"/>
      <w:r w:rsidRPr="00CC56AC">
        <w:rPr>
          <w:sz w:val="24"/>
          <w:szCs w:val="24"/>
        </w:rPr>
        <w:t>STRESZCZENIE</w:t>
      </w:r>
      <w:bookmarkEnd w:id="0"/>
    </w:p>
    <w:p w14:paraId="0FE3D2D4" w14:textId="77777777" w:rsidR="00CC56AC" w:rsidRPr="002A466C" w:rsidRDefault="00CC56AC" w:rsidP="00CC56AC">
      <w:pPr>
        <w:pStyle w:val="NormalnyWeb"/>
        <w:spacing w:line="360" w:lineRule="auto"/>
        <w:rPr>
          <w:b/>
          <w:bCs/>
        </w:rPr>
      </w:pPr>
      <w:r w:rsidRPr="002A466C">
        <w:rPr>
          <w:b/>
          <w:bCs/>
        </w:rPr>
        <w:t>Wprowadzenie:</w:t>
      </w:r>
    </w:p>
    <w:p w14:paraId="321BC830" w14:textId="77777777" w:rsidR="00CC56AC" w:rsidRDefault="00CC56AC" w:rsidP="00CC56AC">
      <w:pPr>
        <w:pStyle w:val="NormalnyWeb"/>
        <w:spacing w:line="360" w:lineRule="auto"/>
        <w:ind w:firstLine="709"/>
        <w:jc w:val="both"/>
      </w:pPr>
      <w:r w:rsidRPr="001D5F23">
        <w:t xml:space="preserve">Nowotwory miednicy mniejszej u dzieci stanowią heterogenną grupę zmian </w:t>
      </w:r>
      <w:r>
        <w:br/>
      </w:r>
      <w:r w:rsidRPr="001D5F23">
        <w:t xml:space="preserve">o zróżnicowanej etiologii, obrazie klinicznym oraz histologicznym. Ze względu na obecność wielu struktur anatomicznych oraz częste występowanie niespecyficznych objawów, rozpoznanie tych patologii bywa opóźnione. Diagnostyka obrazowa, zwłaszcza </w:t>
      </w:r>
      <w:r>
        <w:br/>
      </w:r>
      <w:r w:rsidRPr="001D5F23">
        <w:t>z wykorzystaniem rezonansu magnetycznego (MR), odgrywa kluczową rolę w ocenie charakterystyki zmian, ich rozległości, relacji do sąsiednich struktur, a także w planowaniu leczenia chirurgicznego i systemowego. Rzadkość występowania wielu typów guzów w tej lokalizacji sprawia, że brakuje jednoznacznych wytycznych postępowania, co wymusza indywidualizację terapii, bazującą na doświadczeniu ośrodka oraz analizie dostępnej literatury.</w:t>
      </w:r>
    </w:p>
    <w:p w14:paraId="6EDBA39D" w14:textId="77777777" w:rsidR="00CC56AC" w:rsidRPr="002A466C" w:rsidRDefault="00CC56AC" w:rsidP="00CC56AC">
      <w:pPr>
        <w:pStyle w:val="NormalnyWeb"/>
        <w:spacing w:line="360" w:lineRule="auto"/>
        <w:rPr>
          <w:b/>
          <w:bCs/>
        </w:rPr>
      </w:pPr>
      <w:r w:rsidRPr="002A466C">
        <w:rPr>
          <w:b/>
          <w:bCs/>
        </w:rPr>
        <w:t>Cel pracy:</w:t>
      </w:r>
    </w:p>
    <w:p w14:paraId="7B20B77E" w14:textId="77777777" w:rsidR="00CC56AC" w:rsidRDefault="00CC56AC" w:rsidP="00CC56AC">
      <w:pPr>
        <w:pStyle w:val="NormalnyWeb"/>
        <w:spacing w:line="360" w:lineRule="auto"/>
        <w:ind w:firstLine="709"/>
        <w:jc w:val="both"/>
      </w:pPr>
      <w:r w:rsidRPr="001D5F23">
        <w:t xml:space="preserve">Celem rozprawy była optymalizacja przedoperacyjnej oceny oraz planowania leczenia rzadkich guzów miednicy mniejszej u dzieci przy wykorzystaniu technik rezonansu magnetycznego. </w:t>
      </w:r>
      <w:r>
        <w:t>W szczególności skupiono się na ocenie przydatności badania MR w zakresie określania lokalizacji i cech morfologicznych zmian, definiowania relacji guza względem struktur krytycznych, różnicowania zmian łagodnych i złośliwych, monitorowania odpowiedzi na leczenie oraz wspierania decyzji terapeutycznych, w tym strategii zabiegów oszczędzających płodność.</w:t>
      </w:r>
    </w:p>
    <w:p w14:paraId="312C478C" w14:textId="77777777" w:rsidR="00CC56AC" w:rsidRPr="002A466C" w:rsidRDefault="00CC56AC" w:rsidP="00CC56AC">
      <w:pPr>
        <w:pStyle w:val="NormalnyWeb"/>
        <w:spacing w:line="360" w:lineRule="auto"/>
        <w:rPr>
          <w:b/>
          <w:bCs/>
        </w:rPr>
      </w:pPr>
      <w:r w:rsidRPr="002A466C">
        <w:rPr>
          <w:b/>
          <w:bCs/>
        </w:rPr>
        <w:t>Materiały i metody:</w:t>
      </w:r>
    </w:p>
    <w:p w14:paraId="0AC1998F" w14:textId="77777777" w:rsidR="00CC56AC" w:rsidRDefault="00CC56AC" w:rsidP="00CC56AC">
      <w:pPr>
        <w:pStyle w:val="NormalnyWeb"/>
        <w:spacing w:line="360" w:lineRule="auto"/>
        <w:ind w:firstLine="709"/>
        <w:jc w:val="both"/>
      </w:pPr>
      <w:r w:rsidRPr="001D5F23">
        <w:t>Rozprawa została oparta na cyklu trzech publikacji, zawierających retrospektywną analizę dokumentacji medycznej oraz badań obrazowych dzieci leczonych w Instytucie Matki i Dziecka w Warszawie</w:t>
      </w:r>
      <w:r>
        <w:t xml:space="preserve">. </w:t>
      </w:r>
    </w:p>
    <w:p w14:paraId="402CB24E" w14:textId="77777777" w:rsidR="00CC56AC" w:rsidRDefault="00CC56AC" w:rsidP="00CC56AC">
      <w:pPr>
        <w:pStyle w:val="NormalnyWeb"/>
        <w:spacing w:line="360" w:lineRule="auto"/>
        <w:ind w:firstLine="709"/>
        <w:jc w:val="both"/>
      </w:pPr>
      <w:r>
        <w:t xml:space="preserve">W pierwszej publikacji analizowano 10 pacjentek z mięsakiem </w:t>
      </w:r>
      <w:proofErr w:type="spellStart"/>
      <w:r>
        <w:t>prążkowanokomórkowym</w:t>
      </w:r>
      <w:proofErr w:type="spellEnd"/>
      <w:r>
        <w:t xml:space="preserve"> narządów moczowo-płciowych. Ocenie poddano badania MR wykonane przed leczeniem oraz w jego trakcie, uwzględniając m.in. zmianę objętości guza </w:t>
      </w:r>
      <w:r>
        <w:br/>
        <w:t>i jego sygnału pod wpływem zastosowanej terapii.</w:t>
      </w:r>
    </w:p>
    <w:p w14:paraId="0DC12C63" w14:textId="77777777" w:rsidR="00CC56AC" w:rsidRDefault="00CC56AC" w:rsidP="00CC56AC">
      <w:pPr>
        <w:pStyle w:val="NormalnyWeb"/>
        <w:spacing w:line="360" w:lineRule="auto"/>
        <w:ind w:firstLine="709"/>
        <w:jc w:val="both"/>
      </w:pPr>
      <w:r>
        <w:lastRenderedPageBreak/>
        <w:t xml:space="preserve">Druga publikacja zawierała przegląd literatury oraz analizę 11 przypadków atypowych nowotworów miednicy u dzieci (m.in. SCCOHT, pierwotny </w:t>
      </w:r>
      <w:proofErr w:type="spellStart"/>
      <w:r>
        <w:t>chłoniak</w:t>
      </w:r>
      <w:proofErr w:type="spellEnd"/>
      <w:r>
        <w:t xml:space="preserve"> jajnika, </w:t>
      </w:r>
      <w:proofErr w:type="spellStart"/>
      <w:r>
        <w:t>neuroblastoma</w:t>
      </w:r>
      <w:proofErr w:type="spellEnd"/>
      <w:r>
        <w:t>, zmiany związane z zespołem DICER1). Uwzględniono ocenę sygnału w poszczególnych sekwencjach, obecność restrykcji dyfuzji oraz wzmocnienie po dożylnym podaniu środka kontrastującego.</w:t>
      </w:r>
    </w:p>
    <w:p w14:paraId="46D08178" w14:textId="77777777" w:rsidR="00CC56AC" w:rsidRPr="001D5F23" w:rsidRDefault="00CC56AC" w:rsidP="00CC56AC">
      <w:pPr>
        <w:pStyle w:val="NormalnyWeb"/>
        <w:spacing w:line="360" w:lineRule="auto"/>
        <w:ind w:firstLine="709"/>
        <w:jc w:val="both"/>
      </w:pPr>
      <w:r>
        <w:t xml:space="preserve">Trzecia publikacja dotyczyła szczególnie rzadkich przypadków przerzutów mięsaków tkanek miękkich i kości do </w:t>
      </w:r>
      <w:r w:rsidRPr="00107E1D">
        <w:t>narządów miednicy lub piersi</w:t>
      </w:r>
      <w:r>
        <w:t xml:space="preserve"> u dziewcząt (4 przypadki). Analizie poddano dostępne obrazy USG, MR i TK oraz przeprowadzono pogłębiony przegląd piśmiennictwa.</w:t>
      </w:r>
    </w:p>
    <w:p w14:paraId="4803B894" w14:textId="77777777" w:rsidR="00CC56AC" w:rsidRPr="001D5F23" w:rsidRDefault="00CC56AC" w:rsidP="00CC56AC">
      <w:pPr>
        <w:pStyle w:val="NormalnyWeb"/>
        <w:spacing w:line="360" w:lineRule="auto"/>
        <w:ind w:firstLine="709"/>
        <w:jc w:val="both"/>
      </w:pPr>
      <w:r w:rsidRPr="001D5F23">
        <w:t>We wszystkich publikacjach rozpoznania zostały potwierdzone histopatologicznie.</w:t>
      </w:r>
    </w:p>
    <w:p w14:paraId="51CCD364" w14:textId="77777777" w:rsidR="00CC56AC" w:rsidRPr="002A466C" w:rsidRDefault="00CC56AC" w:rsidP="00CC56AC">
      <w:pPr>
        <w:pStyle w:val="NormalnyWeb"/>
        <w:spacing w:line="360" w:lineRule="auto"/>
        <w:rPr>
          <w:b/>
          <w:bCs/>
        </w:rPr>
      </w:pPr>
      <w:r w:rsidRPr="002A466C">
        <w:rPr>
          <w:b/>
          <w:bCs/>
        </w:rPr>
        <w:t>Wyniki i wnioski:</w:t>
      </w:r>
    </w:p>
    <w:p w14:paraId="39D68410" w14:textId="77777777" w:rsidR="00CC56AC" w:rsidRPr="001D5F23" w:rsidRDefault="00CC56AC" w:rsidP="00CC56AC">
      <w:pPr>
        <w:pStyle w:val="NormalnyWeb"/>
        <w:spacing w:line="360" w:lineRule="auto"/>
        <w:ind w:firstLine="709"/>
        <w:jc w:val="both"/>
      </w:pPr>
      <w:r w:rsidRPr="001D5F23">
        <w:t>Analiza zgromadzonego materiału potwierdziła, że rezonans magnetyczny:</w:t>
      </w:r>
    </w:p>
    <w:p w14:paraId="75952064" w14:textId="77777777" w:rsidR="00CC56AC" w:rsidRPr="001D5F23" w:rsidRDefault="00CC56AC" w:rsidP="00CC56AC">
      <w:pPr>
        <w:pStyle w:val="NormalnyWeb"/>
        <w:numPr>
          <w:ilvl w:val="0"/>
          <w:numId w:val="2"/>
        </w:numPr>
        <w:spacing w:line="360" w:lineRule="auto"/>
        <w:jc w:val="both"/>
      </w:pPr>
      <w:r w:rsidRPr="001D5F23">
        <w:t>umożliwia precyzyjną lokalizację zmian oraz ocenę ich relacji względem sąsiednich struktur,</w:t>
      </w:r>
    </w:p>
    <w:p w14:paraId="7508A093" w14:textId="77777777" w:rsidR="00CC56AC" w:rsidRPr="001D5F23" w:rsidRDefault="00CC56AC" w:rsidP="00CC56AC">
      <w:pPr>
        <w:pStyle w:val="NormalnyWeb"/>
        <w:numPr>
          <w:ilvl w:val="0"/>
          <w:numId w:val="2"/>
        </w:numPr>
        <w:spacing w:line="360" w:lineRule="auto"/>
        <w:jc w:val="both"/>
      </w:pPr>
      <w:r w:rsidRPr="001D5F23">
        <w:t>pozwala na skuteczne monitorowanie odpowiedzi na leczenie oraz kwalifikację do zabiegów oszczędzających,</w:t>
      </w:r>
    </w:p>
    <w:p w14:paraId="6705182B" w14:textId="77777777" w:rsidR="00CC56AC" w:rsidRPr="001D5F23" w:rsidRDefault="00CC56AC" w:rsidP="00CC56AC">
      <w:pPr>
        <w:pStyle w:val="NormalnyWeb"/>
        <w:numPr>
          <w:ilvl w:val="0"/>
          <w:numId w:val="2"/>
        </w:numPr>
        <w:spacing w:line="360" w:lineRule="auto"/>
        <w:jc w:val="both"/>
      </w:pPr>
      <w:r w:rsidRPr="001D5F23">
        <w:t>wykazuje najwyższą wartość diagnostyczną zarówno w typowych, jak i atypowych przypadkach guzów miednicy u dzieci,</w:t>
      </w:r>
    </w:p>
    <w:p w14:paraId="497D11B2" w14:textId="77777777" w:rsidR="00CC56AC" w:rsidRDefault="00CC56AC" w:rsidP="00CC56AC">
      <w:pPr>
        <w:pStyle w:val="NormalnyWeb"/>
        <w:numPr>
          <w:ilvl w:val="0"/>
          <w:numId w:val="2"/>
        </w:numPr>
        <w:spacing w:line="360" w:lineRule="auto"/>
        <w:jc w:val="both"/>
      </w:pPr>
      <w:r w:rsidRPr="001D5F23">
        <w:t xml:space="preserve">wymaga interpretacji w ścisłym kontekście </w:t>
      </w:r>
      <w:r>
        <w:t xml:space="preserve">z danymi </w:t>
      </w:r>
      <w:r w:rsidRPr="001D5F23">
        <w:t>klinicznym</w:t>
      </w:r>
      <w:r>
        <w:t>i.</w:t>
      </w:r>
    </w:p>
    <w:p w14:paraId="5E1CBEF7" w14:textId="77777777" w:rsidR="00CC56AC" w:rsidRDefault="00CC56AC" w:rsidP="00CC56AC">
      <w:pPr>
        <w:pStyle w:val="NormalnyWeb"/>
        <w:spacing w:line="360" w:lineRule="auto"/>
        <w:ind w:firstLine="709"/>
        <w:jc w:val="both"/>
      </w:pPr>
      <w:r w:rsidRPr="001D5F23">
        <w:t>Uzupełniającą rolę pełni badanie PET-TK, szczególnie w wykrywaniu przerzutów odległych oraz w różnicowaniu wznowy z następstwami leczenia.</w:t>
      </w:r>
    </w:p>
    <w:p w14:paraId="4538036E" w14:textId="0AFACBAC" w:rsidR="00CC56AC" w:rsidRPr="002A466C" w:rsidRDefault="00CC56AC" w:rsidP="00CC56AC">
      <w:pPr>
        <w:pStyle w:val="NormalnyWeb"/>
        <w:spacing w:line="360" w:lineRule="auto"/>
        <w:ind w:firstLine="709"/>
        <w:jc w:val="both"/>
      </w:pPr>
      <w:r>
        <w:t xml:space="preserve">Przedstawione obserwacje stanowią istotny wkład w rozwój wiedzy z zakresu radiologii onkologicznej wieku rozwojowego i mogą wspierać kształtowanie praktyki klinicznej </w:t>
      </w:r>
      <w:r>
        <w:br/>
        <w:t>w zakresie diagnostyki i terapii nowotworów miednicy u dzieci. Uzyskane wyniki stanowią także podstawę do planowania dalszych badań prospektywnych oraz opracowywania standardów postępowania w tej grupie pacjentów.</w:t>
      </w:r>
    </w:p>
    <w:p w14:paraId="596FACF6" w14:textId="77777777" w:rsidR="00CC56AC" w:rsidRDefault="00CC56AC"/>
    <w:sectPr w:rsidR="00CC5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Nagłówki CS)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25F58"/>
    <w:multiLevelType w:val="multilevel"/>
    <w:tmpl w:val="FB58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9A50AA"/>
    <w:multiLevelType w:val="multilevel"/>
    <w:tmpl w:val="0F126CE0"/>
    <w:lvl w:ilvl="0">
      <w:start w:val="1"/>
      <w:numFmt w:val="decimal"/>
      <w:pStyle w:val="Doktora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hint="default"/>
        <w:b/>
        <w:bCs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29360174">
    <w:abstractNumId w:val="1"/>
  </w:num>
  <w:num w:numId="2" w16cid:durableId="47954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6AC"/>
    <w:rsid w:val="00A852D4"/>
    <w:rsid w:val="00CC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F242"/>
  <w15:chartTrackingRefBased/>
  <w15:docId w15:val="{D0C17DEB-2A20-45A7-AD63-072CF0AF0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6AC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C5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5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5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5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5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56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56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56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56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5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5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56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56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56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56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56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56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56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56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5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5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56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5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56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56A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56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5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56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56A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qFormat/>
    <w:rsid w:val="00CC56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Doktorat">
    <w:name w:val="Doktorat"/>
    <w:basedOn w:val="Nagwek1"/>
    <w:next w:val="Normalny"/>
    <w:link w:val="DoktoratZnak"/>
    <w:qFormat/>
    <w:rsid w:val="00CC56AC"/>
    <w:pPr>
      <w:numPr>
        <w:numId w:val="1"/>
      </w:numPr>
      <w:spacing w:before="240" w:after="0" w:line="360" w:lineRule="auto"/>
    </w:pPr>
    <w:rPr>
      <w:rFonts w:ascii="Times New Roman" w:hAnsi="Times New Roman" w:cs="Times New Roman (Nagłówki CS)"/>
      <w:b/>
      <w:color w:val="000000" w:themeColor="text1"/>
    </w:rPr>
  </w:style>
  <w:style w:type="character" w:customStyle="1" w:styleId="DoktoratZnak">
    <w:name w:val="Doktorat Znak"/>
    <w:basedOn w:val="Nagwek1Znak"/>
    <w:link w:val="Doktorat"/>
    <w:rsid w:val="00CC56AC"/>
    <w:rPr>
      <w:rFonts w:ascii="Times New Roman" w:eastAsiaTheme="majorEastAsia" w:hAnsi="Times New Roman" w:cs="Times New Roman (Nagłówki CS)"/>
      <w:b/>
      <w:color w:val="000000" w:themeColor="text1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2996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Budzisz</dc:creator>
  <cp:keywords/>
  <dc:description/>
  <cp:lastModifiedBy>Iwona Budzisz</cp:lastModifiedBy>
  <cp:revision>1</cp:revision>
  <dcterms:created xsi:type="dcterms:W3CDTF">2026-05-20T12:05:00Z</dcterms:created>
  <dcterms:modified xsi:type="dcterms:W3CDTF">2026-05-20T12:06:00Z</dcterms:modified>
</cp:coreProperties>
</file>