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9C303" w14:textId="77777777" w:rsidR="00322733" w:rsidRPr="00054445" w:rsidRDefault="00322733" w:rsidP="00322733">
      <w:pPr>
        <w:spacing w:line="360" w:lineRule="auto"/>
        <w:outlineLvl w:val="0"/>
        <w:rPr>
          <w:rFonts w:eastAsia="Times New Roman"/>
          <w:lang w:val="pl-PL" w:eastAsia="en-US"/>
        </w:rPr>
      </w:pPr>
      <w:r w:rsidRPr="00054445">
        <w:rPr>
          <w:b/>
          <w:color w:val="0070C0"/>
          <w:sz w:val="32"/>
          <w:lang w:val="pl-PL"/>
        </w:rPr>
        <w:t>Streszczenie w języku polskim</w:t>
      </w:r>
    </w:p>
    <w:p w14:paraId="12BB135F" w14:textId="77777777" w:rsidR="00322733" w:rsidRPr="00054445" w:rsidRDefault="00322733" w:rsidP="00322733">
      <w:pPr>
        <w:pStyle w:val="NormalnyWeb"/>
        <w:spacing w:line="360" w:lineRule="auto"/>
        <w:jc w:val="both"/>
        <w:rPr>
          <w:b/>
          <w:bCs/>
          <w:lang w:val="pl-PL"/>
        </w:rPr>
      </w:pPr>
      <w:r w:rsidRPr="00054445">
        <w:rPr>
          <w:b/>
          <w:bCs/>
          <w:lang w:val="pl-PL"/>
        </w:rPr>
        <w:t>Parametry hemodynamiczne ciężarnych analizowane z zastosowaniem nieinwazyjnej metody oceny sztywności naczyń w ciążach powikłanych cukrzycą lub zahamowaniem wzrastania płodu</w:t>
      </w:r>
    </w:p>
    <w:p w14:paraId="2DE2EFB7" w14:textId="77777777" w:rsidR="00322733" w:rsidRPr="00054445" w:rsidRDefault="00322733" w:rsidP="00322733">
      <w:pPr>
        <w:pStyle w:val="NormalnyWeb"/>
        <w:spacing w:line="360" w:lineRule="auto"/>
        <w:jc w:val="both"/>
        <w:rPr>
          <w:color w:val="000000" w:themeColor="text1"/>
          <w:lang w:val="pl-PL"/>
        </w:rPr>
      </w:pPr>
      <w:bookmarkStart w:id="0" w:name="OLE_LINK9"/>
      <w:bookmarkStart w:id="1" w:name="OLE_LINK10"/>
      <w:bookmarkStart w:id="2" w:name="OLE_LINK13"/>
      <w:bookmarkStart w:id="3" w:name="OLE_LINK14"/>
      <w:r w:rsidRPr="00054445">
        <w:rPr>
          <w:color w:val="000000" w:themeColor="text1"/>
          <w:lang w:val="pl-PL"/>
        </w:rPr>
        <w:t xml:space="preserve">Ciąże powikłane wewnątrzmacicznym zahamowaniem wzrastania płodu oraz hiperglikemią w ciąży znajdują się w grupie wysokiego ryzyka wystąpienia powikłań matczyno-płodowych. Wiążą się również ze zwiększonym ryzykiem rozwoju chorób sercowo-naczyniowych w późniejszym okresie życia. Znajomość fizjologicznych zmian zachodzących w układzie sercowo-naczyniowym w ciąży umożliwia prawidłową ocenę odchyleń parametrów hemodynamicznych w ciążach powikłanych m.in. FGR, SGA oraz PGDM i GDM. Pozwala to na wyselekcjonowanie kobiet wymagających długoterminowej opieki poporodowej. </w:t>
      </w:r>
      <w:r w:rsidRPr="00054445">
        <w:rPr>
          <w:color w:val="000000" w:themeColor="text1"/>
          <w:lang w:val="pl-PL"/>
        </w:rPr>
        <w:tab/>
      </w:r>
      <w:r w:rsidRPr="00054445">
        <w:rPr>
          <w:color w:val="000000" w:themeColor="text1"/>
          <w:lang w:val="pl-PL"/>
        </w:rPr>
        <w:br/>
        <w:t>Celem cyklu prac była analiza parametrów hemodynamicznych u pacjentek z wybranymi powikłaniami ciąży: SGA, FGR, GDM i PGDM, oraz porównanie ich do grupy pacjentek w ciążach niepowikłanych. Analiza obejmowała porównanie potencjalnych różnic w parametrach hemodynamicznych pomiędzy ciążami powikłanymi SGA a FGR oraz GDM a PGDM, a także analiza różnic w zależności od metody leczenia hiperglikemii w ciąży.</w:t>
      </w:r>
      <w:r w:rsidRPr="00054445">
        <w:rPr>
          <w:color w:val="000000" w:themeColor="text1"/>
          <w:lang w:val="pl-PL"/>
        </w:rPr>
        <w:tab/>
      </w:r>
      <w:r w:rsidRPr="00054445">
        <w:rPr>
          <w:color w:val="000000" w:themeColor="text1"/>
          <w:lang w:val="pl-PL"/>
        </w:rPr>
        <w:br/>
        <w:t xml:space="preserve">Wyniki cyklu prac, stanowiących niniejszą dysertację, wykazały u ciężarnych z rozpoznaniem SGA i FGR wyższy obwodowy opór naczyniowy, zmniejszony rzut serca oraz zwiększone centralne ciśnienie krwi w stosunku do ciąż niepowikłanych. Co więcej, w ciążach powikłanych FGR profil hemodynamiczny charakteryzował się wyższym centralnym ciśnieniem tętniczym oraz niższym rzutem serca w porównaniu z pacjentkami w ciążach powikłanych SGA. W ciążach powikłanych GDM i PGDM stwierdzono wyższe centralne ciśnienie tętnicze, zwiększony rzut serca oraz zwiększoną sztywność aorty w stosunku do ciąż niepowikłanych. Profil hemodynamiczny u pacjentek z GDM nie różnił się od PGDM. Nie wykazano różnic w parametrach hemodynamicznych w zależności od metody leczenia GDM. </w:t>
      </w:r>
      <w:r w:rsidRPr="00054445">
        <w:rPr>
          <w:color w:val="000000" w:themeColor="text1"/>
          <w:lang w:val="pl-PL"/>
        </w:rPr>
        <w:tab/>
      </w:r>
      <w:r w:rsidRPr="00054445">
        <w:rPr>
          <w:color w:val="000000" w:themeColor="text1"/>
          <w:lang w:val="pl-PL"/>
        </w:rPr>
        <w:br/>
        <w:t xml:space="preserve">Wyniki cyklu </w:t>
      </w:r>
      <w:r>
        <w:rPr>
          <w:color w:val="000000" w:themeColor="text1"/>
          <w:lang w:val="pl-PL"/>
        </w:rPr>
        <w:t xml:space="preserve">publikacji </w:t>
      </w:r>
      <w:r w:rsidRPr="00054445">
        <w:rPr>
          <w:color w:val="000000" w:themeColor="text1"/>
          <w:lang w:val="pl-PL"/>
        </w:rPr>
        <w:t xml:space="preserve">potwierdzają zatem, że pacjentki w ciążach powikłanych SGA, FGR, GDM, PGDM mają odrębny profil hemodynamiczny w porównaniu z ciążami niepowikłanymi co może zwiększać ich ryzyko sercowo-naczyniowe w przyszłości. </w:t>
      </w:r>
      <w:bookmarkEnd w:id="0"/>
      <w:bookmarkEnd w:id="1"/>
      <w:r w:rsidRPr="00054445">
        <w:rPr>
          <w:lang w:val="pl-PL"/>
        </w:rPr>
        <w:t>Wprowadzenie kontroli kardiologicznej po porodzie w tej grupie pacjentek mogłoby zatem wpłynąć na zmniejszenie u nich ryzyka powikłań sercowo-naczyniowych w przyszłości.</w:t>
      </w:r>
      <w:bookmarkEnd w:id="2"/>
      <w:bookmarkEnd w:id="3"/>
    </w:p>
    <w:p w14:paraId="17E58D19" w14:textId="77777777" w:rsidR="00322733" w:rsidRPr="00322733" w:rsidRDefault="00322733">
      <w:pPr>
        <w:rPr>
          <w:lang w:val="pl-PL"/>
        </w:rPr>
      </w:pPr>
    </w:p>
    <w:sectPr w:rsidR="00322733" w:rsidRPr="00322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733"/>
    <w:rsid w:val="00322733"/>
    <w:rsid w:val="00A2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4CF18"/>
  <w15:chartTrackingRefBased/>
  <w15:docId w15:val="{4E54B2F9-BD3A-40B7-AF9A-2F1B8694A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2733"/>
    <w:pPr>
      <w:spacing w:after="0" w:line="240" w:lineRule="auto"/>
    </w:pPr>
    <w:rPr>
      <w:rFonts w:ascii="Times New Roman" w:hAnsi="Times New Roman" w:cs="Times New Roman"/>
      <w:kern w:val="0"/>
      <w:lang w:val="en-GB" w:eastAsia="en-GB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273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273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273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l-PL"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273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pl-PL"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273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pl-PL"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273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l-PL"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273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l-PL"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273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l-PL"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273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l-PL"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27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27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27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273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273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27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27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27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27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27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22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273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227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2733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val="pl-PL"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227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2733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val="pl-PL"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2273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27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val="pl-PL"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273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2733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32273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2041</Characters>
  <Application>Microsoft Office Word</Application>
  <DocSecurity>0</DocSecurity>
  <Lines>41</Lines>
  <Paragraphs>10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Budzisz</dc:creator>
  <cp:keywords/>
  <dc:description/>
  <cp:lastModifiedBy>Iwona Budzisz</cp:lastModifiedBy>
  <cp:revision>1</cp:revision>
  <dcterms:created xsi:type="dcterms:W3CDTF">2026-02-16T12:51:00Z</dcterms:created>
  <dcterms:modified xsi:type="dcterms:W3CDTF">2026-02-16T12:51:00Z</dcterms:modified>
</cp:coreProperties>
</file>